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sz w:val="48"/>
          <w:szCs w:val="48"/>
        </w:rPr>
      </w:pPr>
      <w:r>
        <w:rPr>
          <w:sz w:val="48"/>
          <w:szCs w:val="48"/>
        </w:rPr>
        <w:t>КНИГА 4.</w:t>
      </w:r>
    </w:p>
    <w:p w:rsidR="00000031" w:rsidRPr="00000031" w:rsidRDefault="00000031" w:rsidP="003E3C0A">
      <w:pPr>
        <w:pStyle w:val="af1"/>
        <w:rPr>
          <w:sz w:val="48"/>
          <w:szCs w:val="48"/>
        </w:rPr>
      </w:pPr>
      <w:r w:rsidRPr="00000031">
        <w:rPr>
          <w:sz w:val="48"/>
          <w:szCs w:val="48"/>
        </w:rPr>
        <w:t>Прогноз топливопотребления энерг</w:t>
      </w:r>
      <w:r w:rsidRPr="00000031">
        <w:rPr>
          <w:sz w:val="48"/>
          <w:szCs w:val="48"/>
        </w:rPr>
        <w:t>о</w:t>
      </w:r>
      <w:r w:rsidRPr="00000031">
        <w:rPr>
          <w:sz w:val="48"/>
          <w:szCs w:val="48"/>
        </w:rPr>
        <w:t>источников на период до 2021 года и в долгосрочной перспективе до 2031 года. Оценка влияния предлагаемых решений на состояние окружающей среды (во</w:t>
      </w:r>
      <w:r w:rsidRPr="00000031">
        <w:rPr>
          <w:sz w:val="48"/>
          <w:szCs w:val="48"/>
        </w:rPr>
        <w:t>з</w:t>
      </w:r>
      <w:r w:rsidRPr="00000031">
        <w:rPr>
          <w:sz w:val="48"/>
          <w:szCs w:val="48"/>
        </w:rPr>
        <w:t>душный и водный бассейн)</w:t>
      </w: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</w:p>
    <w:p w:rsidR="00000031" w:rsidRDefault="00000031" w:rsidP="003E3C0A">
      <w:pPr>
        <w:pStyle w:val="af1"/>
        <w:rPr>
          <w:b/>
          <w:sz w:val="28"/>
          <w:szCs w:val="24"/>
        </w:rPr>
      </w:pPr>
      <w:bookmarkStart w:id="0" w:name="_GoBack"/>
      <w:bookmarkEnd w:id="0"/>
    </w:p>
    <w:p w:rsidR="003E3C0A" w:rsidRPr="002A32C9" w:rsidRDefault="003E3C0A" w:rsidP="003E3C0A">
      <w:pPr>
        <w:pStyle w:val="af1"/>
        <w:rPr>
          <w:b/>
          <w:sz w:val="28"/>
          <w:szCs w:val="24"/>
        </w:rPr>
      </w:pPr>
      <w:r w:rsidRPr="002A32C9">
        <w:rPr>
          <w:b/>
          <w:sz w:val="28"/>
          <w:szCs w:val="24"/>
        </w:rPr>
        <w:t>СОДЕРЖАНИЕ</w:t>
      </w:r>
    </w:p>
    <w:bookmarkStart w:id="1" w:name="_Toc422738275" w:displacedByCustomXml="next"/>
    <w:sdt>
      <w:sdtPr>
        <w:rPr>
          <w:rFonts w:ascii="Arial" w:eastAsiaTheme="minorHAnsi" w:hAnsi="Arial" w:cs="Arial"/>
          <w:bCs w:val="0"/>
          <w:color w:val="auto"/>
          <w:sz w:val="24"/>
          <w:szCs w:val="24"/>
          <w:lang w:eastAsia="en-US"/>
        </w:rPr>
        <w:id w:val="-1926407820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lang w:eastAsia="ru-RU"/>
        </w:rPr>
      </w:sdtEndPr>
      <w:sdtContent>
        <w:p w:rsidR="003E3C0A" w:rsidRPr="00D670EF" w:rsidRDefault="003E3C0A" w:rsidP="003E3C0A">
          <w:pPr>
            <w:pStyle w:val="af4"/>
            <w:spacing w:line="360" w:lineRule="auto"/>
            <w:jc w:val="both"/>
            <w:rPr>
              <w:rFonts w:ascii="Arial" w:hAnsi="Arial" w:cs="Arial"/>
              <w:sz w:val="24"/>
              <w:szCs w:val="24"/>
            </w:rPr>
          </w:pPr>
        </w:p>
        <w:p w:rsidR="00100AF4" w:rsidRDefault="003E3C0A" w:rsidP="00692ECB">
          <w:pPr>
            <w:pStyle w:val="14"/>
            <w:tabs>
              <w:tab w:val="clear" w:pos="9628"/>
              <w:tab w:val="right" w:leader="dot" w:pos="9355"/>
            </w:tabs>
            <w:spacing w:after="0" w:line="360" w:lineRule="auto"/>
            <w:jc w:val="both"/>
            <w:rPr>
              <w:rFonts w:asciiTheme="minorHAnsi" w:hAnsiTheme="minorHAnsi"/>
              <w:noProof/>
              <w:sz w:val="22"/>
            </w:rPr>
          </w:pPr>
          <w:r w:rsidRPr="0061238B">
            <w:rPr>
              <w:rFonts w:cs="Arial"/>
              <w:szCs w:val="24"/>
            </w:rPr>
            <w:fldChar w:fldCharType="begin"/>
          </w:r>
          <w:r w:rsidRPr="0061238B">
            <w:rPr>
              <w:rFonts w:cs="Arial"/>
              <w:szCs w:val="24"/>
            </w:rPr>
            <w:instrText xml:space="preserve"> TOC \o "1-3" \h \z \u </w:instrText>
          </w:r>
          <w:r w:rsidRPr="0061238B">
            <w:rPr>
              <w:rFonts w:cs="Arial"/>
              <w:szCs w:val="24"/>
            </w:rPr>
            <w:fldChar w:fldCharType="separate"/>
          </w:r>
          <w:hyperlink w:anchor="_Toc429062019" w:history="1">
            <w:r w:rsidR="00100AF4" w:rsidRPr="0088453F">
              <w:rPr>
                <w:rStyle w:val="af3"/>
                <w:noProof/>
              </w:rPr>
              <w:t>1 Прогноз топливопотребления энергоисточников на период до 2021 года и в долгосрочной перспективе до 2031 года. Оценка влияния предлагаемых решений на состояние окружающей среды (воздушный и водный бассейн)</w:t>
            </w:r>
            <w:r w:rsidR="00100AF4">
              <w:rPr>
                <w:noProof/>
                <w:webHidden/>
              </w:rPr>
              <w:tab/>
            </w:r>
            <w:r w:rsidR="00100AF4">
              <w:rPr>
                <w:noProof/>
                <w:webHidden/>
              </w:rPr>
              <w:fldChar w:fldCharType="begin"/>
            </w:r>
            <w:r w:rsidR="00100AF4">
              <w:rPr>
                <w:noProof/>
                <w:webHidden/>
              </w:rPr>
              <w:instrText xml:space="preserve"> PAGEREF _Toc429062019 \h </w:instrText>
            </w:r>
            <w:r w:rsidR="00100AF4">
              <w:rPr>
                <w:noProof/>
                <w:webHidden/>
              </w:rPr>
            </w:r>
            <w:r w:rsidR="00100AF4">
              <w:rPr>
                <w:noProof/>
                <w:webHidden/>
              </w:rPr>
              <w:fldChar w:fldCharType="separate"/>
            </w:r>
            <w:r w:rsidR="00692ECB">
              <w:rPr>
                <w:noProof/>
                <w:webHidden/>
              </w:rPr>
              <w:t>4</w:t>
            </w:r>
            <w:r w:rsidR="00100AF4">
              <w:rPr>
                <w:noProof/>
                <w:webHidden/>
              </w:rPr>
              <w:fldChar w:fldCharType="end"/>
            </w:r>
          </w:hyperlink>
        </w:p>
        <w:p w:rsidR="00100AF4" w:rsidRDefault="00351763" w:rsidP="00692ECB">
          <w:pPr>
            <w:pStyle w:val="14"/>
            <w:tabs>
              <w:tab w:val="clear" w:pos="9628"/>
              <w:tab w:val="right" w:leader="dot" w:pos="9355"/>
            </w:tabs>
            <w:spacing w:after="0" w:line="360" w:lineRule="auto"/>
            <w:jc w:val="both"/>
            <w:rPr>
              <w:rFonts w:asciiTheme="minorHAnsi" w:hAnsiTheme="minorHAnsi"/>
              <w:noProof/>
              <w:sz w:val="22"/>
            </w:rPr>
          </w:pPr>
          <w:hyperlink w:anchor="_Toc429062020" w:history="1">
            <w:r w:rsidR="00100AF4" w:rsidRPr="0088453F">
              <w:rPr>
                <w:rStyle w:val="af3"/>
                <w:noProof/>
              </w:rPr>
              <w:t>1.1 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поселения, городского округа</w:t>
            </w:r>
            <w:r w:rsidR="00100AF4">
              <w:rPr>
                <w:noProof/>
                <w:webHidden/>
              </w:rPr>
              <w:tab/>
            </w:r>
            <w:r w:rsidR="00100AF4">
              <w:rPr>
                <w:noProof/>
                <w:webHidden/>
              </w:rPr>
              <w:fldChar w:fldCharType="begin"/>
            </w:r>
            <w:r w:rsidR="00100AF4">
              <w:rPr>
                <w:noProof/>
                <w:webHidden/>
              </w:rPr>
              <w:instrText xml:space="preserve"> PAGEREF _Toc429062020 \h </w:instrText>
            </w:r>
            <w:r w:rsidR="00100AF4">
              <w:rPr>
                <w:noProof/>
                <w:webHidden/>
              </w:rPr>
            </w:r>
            <w:r w:rsidR="00100AF4">
              <w:rPr>
                <w:noProof/>
                <w:webHidden/>
              </w:rPr>
              <w:fldChar w:fldCharType="separate"/>
            </w:r>
            <w:r w:rsidR="00692ECB">
              <w:rPr>
                <w:noProof/>
                <w:webHidden/>
              </w:rPr>
              <w:t>4</w:t>
            </w:r>
            <w:r w:rsidR="00100AF4">
              <w:rPr>
                <w:noProof/>
                <w:webHidden/>
              </w:rPr>
              <w:fldChar w:fldCharType="end"/>
            </w:r>
          </w:hyperlink>
        </w:p>
        <w:p w:rsidR="00100AF4" w:rsidRDefault="00351763" w:rsidP="00692ECB">
          <w:pPr>
            <w:pStyle w:val="14"/>
            <w:tabs>
              <w:tab w:val="clear" w:pos="9628"/>
              <w:tab w:val="right" w:leader="dot" w:pos="9355"/>
            </w:tabs>
            <w:spacing w:after="0" w:line="360" w:lineRule="auto"/>
            <w:jc w:val="both"/>
            <w:rPr>
              <w:rFonts w:asciiTheme="minorHAnsi" w:hAnsiTheme="minorHAnsi"/>
              <w:noProof/>
              <w:sz w:val="22"/>
            </w:rPr>
          </w:pPr>
          <w:hyperlink w:anchor="_Toc429062021" w:history="1">
            <w:r w:rsidR="00100AF4" w:rsidRPr="0088453F">
              <w:rPr>
                <w:rStyle w:val="af3"/>
                <w:noProof/>
              </w:rPr>
              <w:t>1.2 Расчеты по каждому источнику тепловой энергии нормативных запасов аварийных видов топлива</w:t>
            </w:r>
            <w:r w:rsidR="00100AF4">
              <w:rPr>
                <w:noProof/>
                <w:webHidden/>
              </w:rPr>
              <w:tab/>
            </w:r>
            <w:r w:rsidR="00100AF4">
              <w:rPr>
                <w:noProof/>
                <w:webHidden/>
              </w:rPr>
              <w:fldChar w:fldCharType="begin"/>
            </w:r>
            <w:r w:rsidR="00100AF4">
              <w:rPr>
                <w:noProof/>
                <w:webHidden/>
              </w:rPr>
              <w:instrText xml:space="preserve"> PAGEREF _Toc429062021 \h </w:instrText>
            </w:r>
            <w:r w:rsidR="00100AF4">
              <w:rPr>
                <w:noProof/>
                <w:webHidden/>
              </w:rPr>
            </w:r>
            <w:r w:rsidR="00100AF4">
              <w:rPr>
                <w:noProof/>
                <w:webHidden/>
              </w:rPr>
              <w:fldChar w:fldCharType="separate"/>
            </w:r>
            <w:r w:rsidR="00692ECB">
              <w:rPr>
                <w:noProof/>
                <w:webHidden/>
              </w:rPr>
              <w:t>8</w:t>
            </w:r>
            <w:r w:rsidR="00100AF4">
              <w:rPr>
                <w:noProof/>
                <w:webHidden/>
              </w:rPr>
              <w:fldChar w:fldCharType="end"/>
            </w:r>
          </w:hyperlink>
        </w:p>
        <w:p w:rsidR="003E3C0A" w:rsidRPr="00BD3F2D" w:rsidRDefault="003E3C0A" w:rsidP="007F4DDF">
          <w:pPr>
            <w:tabs>
              <w:tab w:val="right" w:leader="dot" w:pos="9355"/>
            </w:tabs>
            <w:rPr>
              <w:rFonts w:ascii="Times New Roman" w:hAnsi="Times New Roman" w:cs="Times New Roman"/>
              <w:szCs w:val="24"/>
            </w:rPr>
          </w:pPr>
          <w:r w:rsidRPr="0061238B">
            <w:rPr>
              <w:rFonts w:cs="Arial"/>
              <w:bCs/>
              <w:szCs w:val="24"/>
            </w:rPr>
            <w:fldChar w:fldCharType="end"/>
          </w:r>
        </w:p>
      </w:sdtContent>
    </w:sdt>
    <w:bookmarkEnd w:id="1"/>
    <w:p w:rsidR="003E3C0A" w:rsidRDefault="003E3C0A" w:rsidP="003E3C0A">
      <w:pPr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br w:type="page"/>
      </w:r>
    </w:p>
    <w:p w:rsidR="007F4DDF" w:rsidRDefault="007F4DDF" w:rsidP="00F608E9">
      <w:pPr>
        <w:pStyle w:val="11"/>
      </w:pPr>
      <w:bookmarkStart w:id="2" w:name="_Toc429062019"/>
      <w:r>
        <w:lastRenderedPageBreak/>
        <w:t xml:space="preserve">1 </w:t>
      </w:r>
      <w:r w:rsidRPr="002C19A1">
        <w:t>Прогноз топливопотребления энергоисточников на период до 2021 года и в долгосрочной перспективе до 2031 года. Оценка влияния предлагаемых решений на состояние окружающей среды (воздушный и водный бассейн)</w:t>
      </w:r>
      <w:bookmarkEnd w:id="2"/>
    </w:p>
    <w:p w:rsidR="0064766A" w:rsidRPr="00F608E9" w:rsidRDefault="0064766A" w:rsidP="00747475">
      <w:pPr>
        <w:pStyle w:val="21"/>
      </w:pPr>
      <w:bookmarkStart w:id="3" w:name="_Toc429062020"/>
      <w:r w:rsidRPr="00F608E9">
        <w:t>1</w:t>
      </w:r>
      <w:r w:rsidR="007F4DDF">
        <w:t>.1</w:t>
      </w:r>
      <w:r w:rsidRPr="00F608E9">
        <w:t xml:space="preserve"> Расчеты по каждому источнику тепловой энергии пе</w:t>
      </w:r>
      <w:r w:rsidRPr="00F608E9">
        <w:t>р</w:t>
      </w:r>
      <w:r w:rsidRPr="00F608E9">
        <w:t>спективных максимальных часовых и годовых расходов основного вида топлива для зимнего, летнего и переходн</w:t>
      </w:r>
      <w:r w:rsidRPr="00F608E9">
        <w:t>о</w:t>
      </w:r>
      <w:r w:rsidRPr="00F608E9">
        <w:t>го периодов, необходимого для обеспечения нормативного функционирования источников тепловой энергии на терр</w:t>
      </w:r>
      <w:r w:rsidRPr="00F608E9">
        <w:t>и</w:t>
      </w:r>
      <w:r w:rsidRPr="00F608E9">
        <w:t>тории поселения, городского округа</w:t>
      </w:r>
      <w:bookmarkEnd w:id="3"/>
    </w:p>
    <w:p w:rsidR="00C32C4E" w:rsidRDefault="00C32C4E" w:rsidP="00C32C4E">
      <w:pPr>
        <w:rPr>
          <w:rFonts w:cs="Arial"/>
          <w:szCs w:val="24"/>
        </w:rPr>
      </w:pPr>
    </w:p>
    <w:p w:rsidR="00995B1D" w:rsidRPr="00054664" w:rsidRDefault="00C32C4E" w:rsidP="00054664">
      <w:pPr>
        <w:pStyle w:val="3"/>
      </w:pPr>
      <w:r w:rsidRPr="00054664">
        <w:t>Перспективные топливные балансы по каждому источнику тепловой энергии необходимы для обеспечения нормативного функционирования источников те</w:t>
      </w:r>
      <w:r w:rsidRPr="00054664">
        <w:t>п</w:t>
      </w:r>
      <w:r w:rsidRPr="00054664">
        <w:t>ловой энергии на территори</w:t>
      </w:r>
      <w:r w:rsidR="009656A5" w:rsidRPr="00054664">
        <w:t>и ГО город</w:t>
      </w:r>
      <w:r w:rsidRPr="00054664">
        <w:t xml:space="preserve"> </w:t>
      </w:r>
      <w:r w:rsidR="009656A5" w:rsidRPr="00054664">
        <w:t>Глазов</w:t>
      </w:r>
      <w:r w:rsidRPr="00054664">
        <w:t>.</w:t>
      </w:r>
    </w:p>
    <w:p w:rsidR="00C32C4E" w:rsidRPr="00054664" w:rsidRDefault="00C32C4E" w:rsidP="00054664">
      <w:pPr>
        <w:pStyle w:val="3"/>
      </w:pPr>
      <w:r w:rsidRPr="00054664">
        <w:t xml:space="preserve">Основным видом топлива, для производства тепловой энергии ГО г. </w:t>
      </w:r>
      <w:r w:rsidR="009656A5" w:rsidRPr="00054664">
        <w:t>Глазов</w:t>
      </w:r>
      <w:r w:rsidRPr="00054664">
        <w:t xml:space="preserve"> является природный газ</w:t>
      </w:r>
      <w:r w:rsidR="00AC20D5" w:rsidRPr="00054664">
        <w:t>, однако по котельной ООО «Тепловодоканал» основной вид топлива - мазут</w:t>
      </w:r>
      <w:r w:rsidRPr="00054664">
        <w:t>. Резервным топливом – мазут (дизельное топливо).</w:t>
      </w:r>
    </w:p>
    <w:p w:rsidR="00C32C4E" w:rsidRPr="00054664" w:rsidRDefault="00C32C4E" w:rsidP="00054664">
      <w:pPr>
        <w:pStyle w:val="3"/>
      </w:pPr>
      <w:r w:rsidRPr="00054664">
        <w:t xml:space="preserve">Расчет перспективного топливного баланса был произведен на основании сводного баланса перспективных тепловых нагрузок источников тепловой энергии ГО г. </w:t>
      </w:r>
      <w:r w:rsidR="009656A5" w:rsidRPr="00054664">
        <w:t>Глазов</w:t>
      </w:r>
      <w:r w:rsidRPr="00054664">
        <w:t>.</w:t>
      </w:r>
    </w:p>
    <w:p w:rsidR="00F54997" w:rsidRPr="00054664" w:rsidRDefault="00B45351" w:rsidP="00054664">
      <w:pPr>
        <w:pStyle w:val="3"/>
      </w:pPr>
      <w:r w:rsidRPr="00054664">
        <w:t xml:space="preserve">В таблице </w:t>
      </w:r>
      <w:r w:rsidR="009656A5" w:rsidRPr="00054664">
        <w:fldChar w:fldCharType="begin"/>
      </w:r>
      <w:r w:rsidR="009656A5" w:rsidRPr="00054664">
        <w:instrText xml:space="preserve"> REF _Ref358098217 \h  \* MERGEFORMAT </w:instrText>
      </w:r>
      <w:r w:rsidR="009656A5" w:rsidRPr="00054664">
        <w:fldChar w:fldCharType="separate"/>
      </w:r>
      <w:r w:rsidR="00747475">
        <w:t>1</w:t>
      </w:r>
      <w:r w:rsidR="009656A5" w:rsidRPr="00054664">
        <w:fldChar w:fldCharType="end"/>
      </w:r>
      <w:r w:rsidR="00E73EDC" w:rsidRPr="00054664">
        <w:t xml:space="preserve">, </w:t>
      </w:r>
      <w:r w:rsidR="009656A5" w:rsidRPr="00054664">
        <w:fldChar w:fldCharType="begin"/>
      </w:r>
      <w:r w:rsidR="009656A5" w:rsidRPr="00054664">
        <w:instrText xml:space="preserve"> REF _Ref358098224 \h  \* MERGEFORMAT </w:instrText>
      </w:r>
      <w:r w:rsidR="009656A5" w:rsidRPr="00054664">
        <w:fldChar w:fldCharType="separate"/>
      </w:r>
      <w:r w:rsidR="00747475" w:rsidRPr="00747475">
        <w:t>2</w:t>
      </w:r>
      <w:r w:rsidR="009656A5" w:rsidRPr="00054664">
        <w:fldChar w:fldCharType="end"/>
      </w:r>
      <w:r w:rsidR="00054664" w:rsidRPr="00054664">
        <w:t xml:space="preserve"> и </w:t>
      </w:r>
      <w:r w:rsidR="00054664" w:rsidRPr="00054664">
        <w:fldChar w:fldCharType="begin"/>
      </w:r>
      <w:r w:rsidR="00054664" w:rsidRPr="00054664">
        <w:instrText xml:space="preserve"> REF _Ref429042671 \h  \* MERGEFORMAT </w:instrText>
      </w:r>
      <w:r w:rsidR="00054664" w:rsidRPr="00054664">
        <w:fldChar w:fldCharType="separate"/>
      </w:r>
      <w:r w:rsidR="00747475" w:rsidRPr="00747475">
        <w:t>3</w:t>
      </w:r>
      <w:r w:rsidR="00054664" w:rsidRPr="00054664">
        <w:fldChar w:fldCharType="end"/>
      </w:r>
      <w:r w:rsidR="00E73EDC" w:rsidRPr="00054664">
        <w:t xml:space="preserve"> </w:t>
      </w:r>
      <w:r w:rsidRPr="00054664">
        <w:t xml:space="preserve">приведен перспективный </w:t>
      </w:r>
      <w:r w:rsidR="00F54997" w:rsidRPr="00054664">
        <w:t xml:space="preserve">расход основного топлива </w:t>
      </w:r>
      <w:r w:rsidRPr="00054664">
        <w:t xml:space="preserve">по каждому источнику тепловой энергии на период до </w:t>
      </w:r>
      <w:r w:rsidR="009656A5" w:rsidRPr="00054664">
        <w:t>2031</w:t>
      </w:r>
      <w:r w:rsidRPr="00054664">
        <w:t xml:space="preserve"> года</w:t>
      </w:r>
      <w:r w:rsidR="00F54997" w:rsidRPr="00054664">
        <w:t xml:space="preserve"> для Мастер-Плана 1</w:t>
      </w:r>
      <w:r w:rsidRPr="00054664">
        <w:t xml:space="preserve">. </w:t>
      </w:r>
    </w:p>
    <w:p w:rsidR="00995B1D" w:rsidRPr="00F608E9" w:rsidRDefault="00747475" w:rsidP="00054664">
      <w:pPr>
        <w:pStyle w:val="3"/>
      </w:pPr>
      <w:r>
        <w:t>В таблице</w:t>
      </w:r>
      <w:r w:rsidR="006C6BAE" w:rsidRPr="00100AF4">
        <w:t xml:space="preserve"> </w:t>
      </w:r>
      <w:r w:rsidRPr="00054664">
        <w:fldChar w:fldCharType="begin"/>
      </w:r>
      <w:r w:rsidRPr="00054664">
        <w:instrText xml:space="preserve"> REF _Ref358098217 \h  \* MERGEFORMAT </w:instrText>
      </w:r>
      <w:r w:rsidRPr="00054664">
        <w:fldChar w:fldCharType="separate"/>
      </w:r>
      <w:r>
        <w:t>1</w:t>
      </w:r>
      <w:r w:rsidRPr="00054664">
        <w:fldChar w:fldCharType="end"/>
      </w:r>
      <w:r w:rsidR="00E73EDC" w:rsidRPr="00100AF4">
        <w:t xml:space="preserve"> </w:t>
      </w:r>
      <w:r w:rsidR="00F54997" w:rsidRPr="00100AF4">
        <w:t>приведен перспективны</w:t>
      </w:r>
      <w:r w:rsidR="00840349" w:rsidRPr="00100AF4">
        <w:t>й</w:t>
      </w:r>
      <w:r w:rsidR="00F54997" w:rsidRPr="00100AF4">
        <w:t xml:space="preserve"> расход основного топлива по </w:t>
      </w:r>
      <w:r w:rsidR="00100AF4">
        <w:t>исто</w:t>
      </w:r>
      <w:r w:rsidR="00100AF4">
        <w:t>ч</w:t>
      </w:r>
      <w:r w:rsidR="00100AF4">
        <w:t xml:space="preserve">никам теплоснабжения города </w:t>
      </w:r>
      <w:r w:rsidR="00F54997" w:rsidRPr="00100AF4">
        <w:t xml:space="preserve">на период до </w:t>
      </w:r>
      <w:r w:rsidR="009656A5" w:rsidRPr="00100AF4">
        <w:t>2031</w:t>
      </w:r>
      <w:r w:rsidR="00F54997" w:rsidRPr="00100AF4">
        <w:t xml:space="preserve"> года по</w:t>
      </w:r>
      <w:r w:rsidR="00100AF4">
        <w:t xml:space="preserve"> варианту 1. В соотве</w:t>
      </w:r>
      <w:r w:rsidR="00100AF4">
        <w:t>т</w:t>
      </w:r>
      <w:r w:rsidR="00100AF4">
        <w:t>ствии с этим вариантом нагрузки города, ранее отапливаемые от низкоэффекти</w:t>
      </w:r>
      <w:r w:rsidR="00100AF4">
        <w:t>в</w:t>
      </w:r>
      <w:r w:rsidR="00100AF4">
        <w:t>ных котельных переключаются на тепломагистрали от ТЭЦ ЧМЗ. Кроме того,</w:t>
      </w:r>
      <w:r w:rsidR="009656A5" w:rsidRPr="00100AF4">
        <w:t xml:space="preserve"> </w:t>
      </w:r>
      <w:r w:rsidR="00875409" w:rsidRPr="00100AF4">
        <w:t>по котельным</w:t>
      </w:r>
      <w:r w:rsidR="009656A5" w:rsidRPr="00100AF4">
        <w:t xml:space="preserve"> ЗАО «Реммаш» и «Теплоком» отсутствует нагрузка в расчетном реж</w:t>
      </w:r>
      <w:r w:rsidR="009656A5" w:rsidRPr="00100AF4">
        <w:t>и</w:t>
      </w:r>
      <w:r w:rsidR="009656A5" w:rsidRPr="00100AF4">
        <w:t>ме (они работаю</w:t>
      </w:r>
      <w:r w:rsidR="00100AF4">
        <w:t>т</w:t>
      </w:r>
      <w:r w:rsidR="009656A5" w:rsidRPr="00100AF4">
        <w:t xml:space="preserve"> только в летнее время на нагрузке ГВС)</w:t>
      </w:r>
      <w:r w:rsidR="00875409" w:rsidRPr="00100AF4">
        <w:t xml:space="preserve">. </w:t>
      </w:r>
      <w:r w:rsidR="00100AF4">
        <w:t>Прочие (ведомстве</w:t>
      </w:r>
      <w:r w:rsidR="00100AF4">
        <w:t>н</w:t>
      </w:r>
      <w:r w:rsidR="00100AF4">
        <w:t>ные) котельные сохранены в работе до 2031 год. Их суммарная нагрузка (и, соо</w:t>
      </w:r>
      <w:r w:rsidR="00100AF4">
        <w:t>т</w:t>
      </w:r>
      <w:r w:rsidR="00100AF4">
        <w:t>ветственно, мощность) – суммарно, менее 1 % от общей тепловой нагрузки гор</w:t>
      </w:r>
      <w:r w:rsidR="00100AF4">
        <w:t>о</w:t>
      </w:r>
      <w:r w:rsidR="00100AF4">
        <w:t>да.</w:t>
      </w:r>
    </w:p>
    <w:p w:rsidR="0026348B" w:rsidRPr="00F608E9" w:rsidRDefault="0026348B" w:rsidP="00054664">
      <w:pPr>
        <w:pStyle w:val="3"/>
      </w:pPr>
    </w:p>
    <w:p w:rsidR="0026348B" w:rsidRDefault="0026348B" w:rsidP="00B11EF0">
      <w:pPr>
        <w:rPr>
          <w:rFonts w:cs="Arial"/>
          <w:szCs w:val="24"/>
        </w:rPr>
        <w:sectPr w:rsidR="0026348B" w:rsidSect="002A32C9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E5B29" w:rsidRPr="00A863A4" w:rsidRDefault="006C6BAE" w:rsidP="00A863A4">
      <w:pPr>
        <w:pStyle w:val="41"/>
      </w:pPr>
      <w:r w:rsidRPr="00A863A4">
        <w:lastRenderedPageBreak/>
        <w:t xml:space="preserve">Таблица </w:t>
      </w:r>
      <w:r w:rsidR="003D236E" w:rsidRPr="00A863A4">
        <w:fldChar w:fldCharType="begin"/>
      </w:r>
      <w:r w:rsidRPr="00A863A4">
        <w:instrText xml:space="preserve"> SEQ Таблица \* ARABIC </w:instrText>
      </w:r>
      <w:r w:rsidR="003D236E" w:rsidRPr="00A863A4">
        <w:fldChar w:fldCharType="separate"/>
      </w:r>
      <w:bookmarkStart w:id="4" w:name="_Ref358098217"/>
      <w:r w:rsidR="00747475">
        <w:rPr>
          <w:noProof/>
        </w:rPr>
        <w:t>1</w:t>
      </w:r>
      <w:bookmarkEnd w:id="4"/>
      <w:r w:rsidR="003D236E" w:rsidRPr="00A863A4">
        <w:fldChar w:fldCharType="end"/>
      </w:r>
      <w:r w:rsidRPr="00A863A4">
        <w:t xml:space="preserve"> – Расход </w:t>
      </w:r>
      <w:r w:rsidR="00A863A4">
        <w:t>основного топлива</w:t>
      </w:r>
      <w:r w:rsidRPr="00A863A4">
        <w:t xml:space="preserve"> за период 201</w:t>
      </w:r>
      <w:r w:rsidR="003E3C0A" w:rsidRPr="00A863A4">
        <w:t>4</w:t>
      </w:r>
      <w:r w:rsidRPr="00A863A4">
        <w:t>-</w:t>
      </w:r>
      <w:r w:rsidR="009E5B29" w:rsidRPr="00A863A4">
        <w:t>20</w:t>
      </w:r>
      <w:r w:rsidR="00054664">
        <w:t>19</w:t>
      </w:r>
      <w:r w:rsidRPr="00A863A4">
        <w:t xml:space="preserve"> гг.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3"/>
        <w:gridCol w:w="758"/>
        <w:gridCol w:w="568"/>
        <w:gridCol w:w="635"/>
        <w:gridCol w:w="703"/>
        <w:gridCol w:w="635"/>
        <w:gridCol w:w="635"/>
        <w:gridCol w:w="635"/>
        <w:gridCol w:w="635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</w:tblGrid>
      <w:tr w:rsidR="00054664" w:rsidRPr="00054664" w:rsidTr="005727AE">
        <w:trPr>
          <w:trHeight w:val="300"/>
          <w:tblHeader/>
        </w:trPr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Наименование собственника и адрес котельной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Вид топл</w:t>
            </w:r>
            <w:r w:rsidRPr="00054664">
              <w:rPr>
                <w:sz w:val="16"/>
                <w:szCs w:val="16"/>
              </w:rPr>
              <w:t>и</w:t>
            </w:r>
            <w:r w:rsidRPr="00054664">
              <w:rPr>
                <w:sz w:val="16"/>
                <w:szCs w:val="16"/>
              </w:rPr>
              <w:t>ва</w:t>
            </w:r>
          </w:p>
        </w:tc>
        <w:tc>
          <w:tcPr>
            <w:tcW w:w="7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2014</w:t>
            </w:r>
          </w:p>
        </w:tc>
        <w:tc>
          <w:tcPr>
            <w:tcW w:w="7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2015</w:t>
            </w:r>
          </w:p>
        </w:tc>
        <w:tc>
          <w:tcPr>
            <w:tcW w:w="7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2016</w:t>
            </w:r>
          </w:p>
        </w:tc>
        <w:tc>
          <w:tcPr>
            <w:tcW w:w="7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2017</w:t>
            </w:r>
          </w:p>
        </w:tc>
        <w:tc>
          <w:tcPr>
            <w:tcW w:w="7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2018</w:t>
            </w:r>
          </w:p>
        </w:tc>
        <w:tc>
          <w:tcPr>
            <w:tcW w:w="7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2019</w:t>
            </w:r>
          </w:p>
        </w:tc>
      </w:tr>
      <w:tr w:rsidR="00054664" w:rsidRPr="00054664" w:rsidTr="005727AE">
        <w:trPr>
          <w:trHeight w:val="795"/>
          <w:tblHeader/>
        </w:trPr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EB22C7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годовой расход натурального топлива, тыс. нм3/год , т/год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нм3/ч, т/ч</w:t>
            </w:r>
          </w:p>
        </w:tc>
        <w:tc>
          <w:tcPr>
            <w:tcW w:w="1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5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</w:t>
            </w:r>
          </w:p>
        </w:tc>
        <w:tc>
          <w:tcPr>
            <w:tcW w:w="1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</w:tr>
      <w:tr w:rsidR="00054664" w:rsidRPr="00054664" w:rsidTr="005727AE">
        <w:trPr>
          <w:trHeight w:val="1830"/>
          <w:tblHeader/>
        </w:trPr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</w:tr>
      <w:tr w:rsidR="005727AE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ТЭЦ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«ЧМЗ»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EB22C7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259 130.8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259130.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259165.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266340.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0E6E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270364.5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270413.7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27AE" w:rsidRPr="00054664" w:rsidRDefault="005727AE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№2 МУП «Глазовские тепл</w:t>
            </w:r>
            <w:r w:rsidRPr="00054664">
              <w:rPr>
                <w:sz w:val="16"/>
                <w:szCs w:val="16"/>
              </w:rPr>
              <w:t>о</w:t>
            </w:r>
            <w:r w:rsidRPr="00054664">
              <w:rPr>
                <w:sz w:val="16"/>
                <w:szCs w:val="16"/>
              </w:rPr>
              <w:t>сети»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3027.6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3253.937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1.212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0.844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0.687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3253.937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1.212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0.844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0.687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3253.937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1.212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0.844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0.687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3516.607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1.302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0.910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0.743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№3 ООО «КомЭнерго»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2939.9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1.426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0.949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0.747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0.092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2934.3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1.421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0.946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0.744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0.092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2934.3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1.421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0.946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0.744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0.092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2934.3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1.421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0.946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0.744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0.092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«Ре</w:t>
            </w:r>
            <w:r w:rsidRPr="00054664">
              <w:rPr>
                <w:sz w:val="16"/>
                <w:szCs w:val="16"/>
              </w:rPr>
              <w:t>м</w:t>
            </w:r>
            <w:r w:rsidRPr="00054664">
              <w:rPr>
                <w:sz w:val="16"/>
                <w:szCs w:val="16"/>
              </w:rPr>
              <w:t>маш»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2876.9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0.979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0.661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2866.3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0.975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2866.3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0.975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2866.3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0.975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2998.8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1.015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0.688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0.549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0.093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2998.8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1.015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0.688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0.549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0.093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«Гл</w:t>
            </w:r>
            <w:r w:rsidRPr="00054664">
              <w:rPr>
                <w:sz w:val="16"/>
                <w:szCs w:val="16"/>
              </w:rPr>
              <w:t>а</w:t>
            </w:r>
            <w:r w:rsidRPr="00054664">
              <w:rPr>
                <w:sz w:val="16"/>
                <w:szCs w:val="16"/>
              </w:rPr>
              <w:t>зов-молоко»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«Гл</w:t>
            </w:r>
            <w:r w:rsidRPr="00054664">
              <w:rPr>
                <w:sz w:val="16"/>
                <w:szCs w:val="16"/>
              </w:rPr>
              <w:t>а</w:t>
            </w:r>
            <w:r w:rsidRPr="00054664">
              <w:rPr>
                <w:sz w:val="16"/>
                <w:szCs w:val="16"/>
              </w:rPr>
              <w:t>зовская мебельная фабрика»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535.49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№1 OОО «Глазовский завод «Химмаш»»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1442.15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№2 OОО «Глазовский завод «Химмаш»»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2756.46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0.6385468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«МРСК Центра и Приволжья»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OАО «Глазовскийдо</w:t>
            </w:r>
            <w:r w:rsidRPr="00054664">
              <w:rPr>
                <w:sz w:val="16"/>
                <w:szCs w:val="16"/>
              </w:rPr>
              <w:t>р</w:t>
            </w:r>
            <w:r w:rsidRPr="00054664">
              <w:rPr>
                <w:sz w:val="16"/>
                <w:szCs w:val="16"/>
              </w:rPr>
              <w:t>мостстрой»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1369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0.1132095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«Га</w:t>
            </w:r>
            <w:r w:rsidRPr="00054664">
              <w:rPr>
                <w:sz w:val="16"/>
                <w:szCs w:val="16"/>
              </w:rPr>
              <w:t>з</w:t>
            </w:r>
            <w:r w:rsidRPr="00054664">
              <w:rPr>
                <w:sz w:val="16"/>
                <w:szCs w:val="16"/>
              </w:rPr>
              <w:t>пром газораспред</w:t>
            </w:r>
            <w:r w:rsidRPr="00054664">
              <w:rPr>
                <w:sz w:val="16"/>
                <w:szCs w:val="16"/>
              </w:rPr>
              <w:t>е</w:t>
            </w:r>
            <w:r w:rsidRPr="00054664">
              <w:rPr>
                <w:sz w:val="16"/>
                <w:szCs w:val="16"/>
              </w:rPr>
              <w:t>ление Ижевск» в г. Глазове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57.315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5727AE"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ООО «Тепловодоканал»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мазут, т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</w:tr>
    </w:tbl>
    <w:p w:rsidR="009E5B29" w:rsidRDefault="009E5B29" w:rsidP="00B11EF0">
      <w:pPr>
        <w:rPr>
          <w:rFonts w:cs="Arial"/>
          <w:szCs w:val="24"/>
        </w:rPr>
      </w:pPr>
    </w:p>
    <w:p w:rsidR="00054664" w:rsidRDefault="00054664">
      <w:pPr>
        <w:spacing w:after="200" w:line="276" w:lineRule="auto"/>
        <w:ind w:firstLine="0"/>
        <w:jc w:val="left"/>
        <w:rPr>
          <w:bCs/>
          <w:szCs w:val="24"/>
        </w:rPr>
      </w:pPr>
      <w:r>
        <w:rPr>
          <w:b/>
          <w:szCs w:val="24"/>
        </w:rPr>
        <w:br w:type="page"/>
      </w:r>
    </w:p>
    <w:p w:rsidR="00B16947" w:rsidRPr="006C6BAE" w:rsidRDefault="006C6BAE" w:rsidP="00747475">
      <w:pPr>
        <w:pStyle w:val="41"/>
        <w:rPr>
          <w:b/>
        </w:rPr>
      </w:pPr>
      <w:r w:rsidRPr="006C6BAE">
        <w:lastRenderedPageBreak/>
        <w:t xml:space="preserve">Таблица </w:t>
      </w:r>
      <w:r w:rsidR="003D236E" w:rsidRPr="006C6BAE">
        <w:rPr>
          <w:b/>
        </w:rPr>
        <w:fldChar w:fldCharType="begin"/>
      </w:r>
      <w:r w:rsidRPr="006C6BAE">
        <w:instrText xml:space="preserve"> SEQ Таблица \* ARABIC </w:instrText>
      </w:r>
      <w:r w:rsidR="003D236E" w:rsidRPr="006C6BAE">
        <w:rPr>
          <w:b/>
        </w:rPr>
        <w:fldChar w:fldCharType="separate"/>
      </w:r>
      <w:bookmarkStart w:id="5" w:name="_Ref358098224"/>
      <w:r w:rsidR="00747475">
        <w:rPr>
          <w:b/>
          <w:noProof/>
        </w:rPr>
        <w:t>2</w:t>
      </w:r>
      <w:bookmarkEnd w:id="5"/>
      <w:r w:rsidR="003D236E" w:rsidRPr="006C6BAE">
        <w:rPr>
          <w:b/>
        </w:rPr>
        <w:fldChar w:fldCharType="end"/>
      </w:r>
      <w:r w:rsidRPr="006C6BAE">
        <w:t xml:space="preserve"> – Расход </w:t>
      </w:r>
      <w:r w:rsidR="00A863A4">
        <w:t>основного топлива</w:t>
      </w:r>
      <w:r w:rsidRPr="006C6BAE">
        <w:t xml:space="preserve"> за период 202</w:t>
      </w:r>
      <w:r w:rsidR="00054664">
        <w:t>0</w:t>
      </w:r>
      <w:r w:rsidRPr="006C6BAE">
        <w:t>-</w:t>
      </w:r>
      <w:r w:rsidR="009656A5">
        <w:t>20</w:t>
      </w:r>
      <w:r w:rsidR="00054664">
        <w:t>25</w:t>
      </w:r>
      <w:r w:rsidRPr="006C6BAE">
        <w:t xml:space="preserve"> гг.</w:t>
      </w:r>
      <w:r w:rsidR="003D6B21" w:rsidRPr="006C6BAE"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3"/>
        <w:gridCol w:w="758"/>
        <w:gridCol w:w="635"/>
        <w:gridCol w:w="635"/>
        <w:gridCol w:w="635"/>
        <w:gridCol w:w="635"/>
        <w:gridCol w:w="635"/>
        <w:gridCol w:w="635"/>
        <w:gridCol w:w="635"/>
        <w:gridCol w:w="635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</w:tblGrid>
      <w:tr w:rsidR="00054664" w:rsidRPr="00054664" w:rsidTr="00054664">
        <w:trPr>
          <w:trHeight w:val="300"/>
          <w:tblHeader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Наименование собственника и адрес котельной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Вид топл</w:t>
            </w:r>
            <w:r w:rsidRPr="00054664">
              <w:rPr>
                <w:sz w:val="16"/>
                <w:szCs w:val="16"/>
              </w:rPr>
              <w:t>и</w:t>
            </w:r>
            <w:r w:rsidRPr="00054664">
              <w:rPr>
                <w:sz w:val="16"/>
                <w:szCs w:val="16"/>
              </w:rPr>
              <w:t>ва</w:t>
            </w:r>
          </w:p>
        </w:tc>
        <w:tc>
          <w:tcPr>
            <w:tcW w:w="7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2020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2021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2022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2023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2024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2025</w:t>
            </w:r>
          </w:p>
        </w:tc>
      </w:tr>
      <w:tr w:rsidR="00054664" w:rsidRPr="00054664" w:rsidTr="00054664">
        <w:trPr>
          <w:trHeight w:val="795"/>
          <w:tblHeader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</w:tr>
      <w:tr w:rsidR="00054664" w:rsidRPr="00054664" w:rsidTr="00054664">
        <w:trPr>
          <w:trHeight w:val="1830"/>
          <w:tblHeader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</w:tr>
      <w:tr w:rsidR="00054664" w:rsidRPr="00054664" w:rsidTr="00EB22C7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ТЭЦ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«ЧМЗ»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270413.7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276679.7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276679.7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278531.7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278531.7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280140.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№2 МУП «Глазовские тепл</w:t>
            </w:r>
            <w:r w:rsidRPr="00054664">
              <w:rPr>
                <w:sz w:val="16"/>
                <w:szCs w:val="16"/>
              </w:rPr>
              <w:t>о</w:t>
            </w:r>
            <w:r w:rsidRPr="00054664">
              <w:rPr>
                <w:sz w:val="16"/>
                <w:szCs w:val="16"/>
              </w:rPr>
              <w:t>сети»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№3 ООО «КомЭнерго»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«Ре</w:t>
            </w:r>
            <w:r w:rsidRPr="00054664">
              <w:rPr>
                <w:sz w:val="16"/>
                <w:szCs w:val="16"/>
              </w:rPr>
              <w:t>м</w:t>
            </w:r>
            <w:r w:rsidRPr="00054664">
              <w:rPr>
                <w:sz w:val="16"/>
                <w:szCs w:val="16"/>
              </w:rPr>
              <w:t>маш»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2998.8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1.015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0.688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0.093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«Гл</w:t>
            </w:r>
            <w:r w:rsidRPr="00054664">
              <w:rPr>
                <w:sz w:val="16"/>
                <w:szCs w:val="16"/>
              </w:rPr>
              <w:t>а</w:t>
            </w:r>
            <w:r w:rsidRPr="00054664">
              <w:rPr>
                <w:sz w:val="16"/>
                <w:szCs w:val="16"/>
              </w:rPr>
              <w:t>зов-молоко»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«Гл</w:t>
            </w:r>
            <w:r w:rsidRPr="00054664">
              <w:rPr>
                <w:sz w:val="16"/>
                <w:szCs w:val="16"/>
              </w:rPr>
              <w:t>а</w:t>
            </w:r>
            <w:r w:rsidRPr="00054664">
              <w:rPr>
                <w:sz w:val="16"/>
                <w:szCs w:val="16"/>
              </w:rPr>
              <w:t>зовская мебельная фабрика»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№1 OОО «Глазовский завод «Химмаш»»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№2 OОО «Глазовский завод «Химмаш»»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«МРСК Центра и Приволжья»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OАО «Глазовскийдо</w:t>
            </w:r>
            <w:r w:rsidRPr="00054664">
              <w:rPr>
                <w:sz w:val="16"/>
                <w:szCs w:val="16"/>
              </w:rPr>
              <w:t>р</w:t>
            </w:r>
            <w:r w:rsidRPr="00054664">
              <w:rPr>
                <w:sz w:val="16"/>
                <w:szCs w:val="16"/>
              </w:rPr>
              <w:t>мостстрой»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«Га</w:t>
            </w:r>
            <w:r w:rsidRPr="00054664">
              <w:rPr>
                <w:sz w:val="16"/>
                <w:szCs w:val="16"/>
              </w:rPr>
              <w:t>з</w:t>
            </w:r>
            <w:r w:rsidRPr="00054664">
              <w:rPr>
                <w:sz w:val="16"/>
                <w:szCs w:val="16"/>
              </w:rPr>
              <w:t>пром газораспред</w:t>
            </w:r>
            <w:r w:rsidRPr="00054664">
              <w:rPr>
                <w:sz w:val="16"/>
                <w:szCs w:val="16"/>
              </w:rPr>
              <w:t>е</w:t>
            </w:r>
            <w:r w:rsidRPr="00054664">
              <w:rPr>
                <w:sz w:val="16"/>
                <w:szCs w:val="16"/>
              </w:rPr>
              <w:t>ление Ижевск» в г. Глазове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ООО «Тепловодоканал»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мазут, т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</w:tr>
    </w:tbl>
    <w:p w:rsidR="009E5B29" w:rsidRDefault="009E5B29" w:rsidP="00B11EF0">
      <w:pPr>
        <w:rPr>
          <w:rFonts w:cs="Arial"/>
          <w:szCs w:val="24"/>
        </w:rPr>
      </w:pPr>
    </w:p>
    <w:p w:rsidR="00054664" w:rsidRDefault="00054664">
      <w:pPr>
        <w:spacing w:after="200" w:line="276" w:lineRule="auto"/>
        <w:ind w:firstLine="0"/>
        <w:jc w:val="left"/>
        <w:rPr>
          <w:bCs/>
          <w:szCs w:val="24"/>
        </w:rPr>
      </w:pPr>
      <w:r>
        <w:rPr>
          <w:b/>
          <w:szCs w:val="24"/>
        </w:rPr>
        <w:br w:type="page"/>
      </w:r>
    </w:p>
    <w:p w:rsidR="00054664" w:rsidRPr="00747475" w:rsidRDefault="00054664" w:rsidP="00747475">
      <w:pPr>
        <w:pStyle w:val="41"/>
      </w:pPr>
      <w:r w:rsidRPr="006C6BAE">
        <w:lastRenderedPageBreak/>
        <w:t xml:space="preserve">Таблица </w:t>
      </w:r>
      <w:r w:rsidRPr="00747475">
        <w:fldChar w:fldCharType="begin"/>
      </w:r>
      <w:r w:rsidRPr="006C6BAE">
        <w:instrText xml:space="preserve"> SEQ Таблица \* ARABIC </w:instrText>
      </w:r>
      <w:r w:rsidRPr="00747475">
        <w:fldChar w:fldCharType="separate"/>
      </w:r>
      <w:bookmarkStart w:id="6" w:name="_Ref429042671"/>
      <w:r w:rsidR="00747475" w:rsidRPr="00747475">
        <w:t>3</w:t>
      </w:r>
      <w:bookmarkEnd w:id="6"/>
      <w:r w:rsidRPr="00747475">
        <w:fldChar w:fldCharType="end"/>
      </w:r>
      <w:r w:rsidRPr="006C6BAE">
        <w:t xml:space="preserve"> – Расход </w:t>
      </w:r>
      <w:r>
        <w:t>основного топлива</w:t>
      </w:r>
      <w:r w:rsidRPr="006C6BAE">
        <w:t xml:space="preserve"> за период 202</w:t>
      </w:r>
      <w:r>
        <w:t>6</w:t>
      </w:r>
      <w:r w:rsidRPr="006C6BAE">
        <w:t>-</w:t>
      </w:r>
      <w:r>
        <w:t>2031</w:t>
      </w:r>
      <w:r w:rsidRPr="006C6BAE">
        <w:t xml:space="preserve"> гг.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3"/>
        <w:gridCol w:w="758"/>
        <w:gridCol w:w="635"/>
        <w:gridCol w:w="635"/>
        <w:gridCol w:w="635"/>
        <w:gridCol w:w="635"/>
        <w:gridCol w:w="635"/>
        <w:gridCol w:w="635"/>
        <w:gridCol w:w="635"/>
        <w:gridCol w:w="635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</w:tblGrid>
      <w:tr w:rsidR="00054664" w:rsidRPr="00054664" w:rsidTr="00054664">
        <w:trPr>
          <w:trHeight w:val="300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Наименование собственника и адрес котельной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Вид топл</w:t>
            </w:r>
            <w:r w:rsidRPr="00054664">
              <w:rPr>
                <w:sz w:val="16"/>
                <w:szCs w:val="16"/>
              </w:rPr>
              <w:t>и</w:t>
            </w:r>
            <w:r w:rsidRPr="00054664">
              <w:rPr>
                <w:sz w:val="16"/>
                <w:szCs w:val="16"/>
              </w:rPr>
              <w:t>ва</w:t>
            </w:r>
          </w:p>
        </w:tc>
        <w:tc>
          <w:tcPr>
            <w:tcW w:w="76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2026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2027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2028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2029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2030</w:t>
            </w:r>
          </w:p>
        </w:tc>
        <w:tc>
          <w:tcPr>
            <w:tcW w:w="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2031</w:t>
            </w:r>
          </w:p>
        </w:tc>
      </w:tr>
      <w:tr w:rsidR="00054664" w:rsidRPr="00054664" w:rsidTr="00054664">
        <w:trPr>
          <w:trHeight w:val="795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годовой расход натурального то</w:t>
            </w:r>
            <w:r w:rsidRPr="00054664">
              <w:rPr>
                <w:sz w:val="16"/>
                <w:szCs w:val="16"/>
              </w:rPr>
              <w:t>п</w:t>
            </w:r>
            <w:r w:rsidRPr="00054664">
              <w:rPr>
                <w:sz w:val="16"/>
                <w:szCs w:val="16"/>
              </w:rPr>
              <w:t xml:space="preserve">лива, тыс. нм3/год </w:t>
            </w:r>
          </w:p>
        </w:tc>
        <w:tc>
          <w:tcPr>
            <w:tcW w:w="6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Перспективный максимальный часовой расход натурального топлива, тыс нм3/ч</w:t>
            </w:r>
          </w:p>
        </w:tc>
      </w:tr>
      <w:tr w:rsidR="00054664" w:rsidRPr="00054664" w:rsidTr="00054664">
        <w:trPr>
          <w:trHeight w:val="1830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  <w:tc>
          <w:tcPr>
            <w:tcW w:w="1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зимний (-34°С)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наиболее холодного месяца (-14,9°С)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средний за отопительный период    (-6,5°С)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4664" w:rsidRPr="00054664" w:rsidRDefault="00054664" w:rsidP="00054664">
            <w:pPr>
              <w:pStyle w:val="6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Режим - летний</w:t>
            </w:r>
          </w:p>
        </w:tc>
      </w:tr>
      <w:tr w:rsidR="00054664" w:rsidRPr="00054664" w:rsidTr="00EB22C7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ТЭЦ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«ЧМЗ»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280140.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280140.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280140.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280140.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280140.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EB22C7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EB22C7">
              <w:rPr>
                <w:sz w:val="16"/>
                <w:szCs w:val="16"/>
              </w:rPr>
              <w:t>280140.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664" w:rsidRPr="00054664" w:rsidRDefault="00714846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№2 МУП «Глазовские тепл</w:t>
            </w:r>
            <w:r w:rsidRPr="00054664">
              <w:rPr>
                <w:sz w:val="16"/>
                <w:szCs w:val="16"/>
              </w:rPr>
              <w:t>о</w:t>
            </w:r>
            <w:r w:rsidRPr="00054664">
              <w:rPr>
                <w:sz w:val="16"/>
                <w:szCs w:val="16"/>
              </w:rPr>
              <w:t>сети»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№3 ООО «КомЭнерго»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«Ре</w:t>
            </w:r>
            <w:r w:rsidRPr="00054664">
              <w:rPr>
                <w:sz w:val="16"/>
                <w:szCs w:val="16"/>
              </w:rPr>
              <w:t>м</w:t>
            </w:r>
            <w:r w:rsidRPr="00054664">
              <w:rPr>
                <w:sz w:val="16"/>
                <w:szCs w:val="16"/>
              </w:rPr>
              <w:t>маш»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«Гл</w:t>
            </w:r>
            <w:r w:rsidRPr="00054664">
              <w:rPr>
                <w:sz w:val="16"/>
                <w:szCs w:val="16"/>
              </w:rPr>
              <w:t>а</w:t>
            </w:r>
            <w:r w:rsidRPr="00054664">
              <w:rPr>
                <w:sz w:val="16"/>
                <w:szCs w:val="16"/>
              </w:rPr>
              <w:t>зов-молоко»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10364.0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3.659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2.413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1.883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0.186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«Гл</w:t>
            </w:r>
            <w:r w:rsidRPr="00054664">
              <w:rPr>
                <w:sz w:val="16"/>
                <w:szCs w:val="16"/>
              </w:rPr>
              <w:t>а</w:t>
            </w:r>
            <w:r w:rsidRPr="00054664">
              <w:rPr>
                <w:sz w:val="16"/>
                <w:szCs w:val="16"/>
              </w:rPr>
              <w:t>зовская мебельная фабрика»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4307.829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1.203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0.766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0.580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№1 OОО «Глазовский завод «Химмаш»»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774.1115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0.184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№2 OОО «Глазовский завод «Химмаш»»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2840.162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0.90411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0.638547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0.525682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0.139049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«МРСК Центра и Приволжья»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1609.25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0.382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0.289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OАО «Глазовскийдо</w:t>
            </w:r>
            <w:r w:rsidRPr="00054664">
              <w:rPr>
                <w:sz w:val="16"/>
                <w:szCs w:val="16"/>
              </w:rPr>
              <w:t>р</w:t>
            </w:r>
            <w:r w:rsidRPr="00054664">
              <w:rPr>
                <w:sz w:val="16"/>
                <w:szCs w:val="16"/>
              </w:rPr>
              <w:t>мостстрой»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476.7738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0.177901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0.11321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0.085716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 xml:space="preserve">котельная </w:t>
            </w:r>
            <w:r w:rsidR="00071F8F">
              <w:rPr>
                <w:sz w:val="16"/>
                <w:szCs w:val="16"/>
              </w:rPr>
              <w:t>АО</w:t>
            </w:r>
            <w:r w:rsidRPr="00054664">
              <w:rPr>
                <w:sz w:val="16"/>
                <w:szCs w:val="16"/>
              </w:rPr>
              <w:t xml:space="preserve"> «Га</w:t>
            </w:r>
            <w:r w:rsidRPr="00054664">
              <w:rPr>
                <w:sz w:val="16"/>
                <w:szCs w:val="16"/>
              </w:rPr>
              <w:t>з</w:t>
            </w:r>
            <w:r w:rsidRPr="00054664">
              <w:rPr>
                <w:sz w:val="16"/>
                <w:szCs w:val="16"/>
              </w:rPr>
              <w:t>пром газораспред</w:t>
            </w:r>
            <w:r w:rsidRPr="00054664">
              <w:rPr>
                <w:sz w:val="16"/>
                <w:szCs w:val="16"/>
              </w:rPr>
              <w:t>е</w:t>
            </w:r>
            <w:r w:rsidRPr="00054664">
              <w:rPr>
                <w:sz w:val="16"/>
                <w:szCs w:val="16"/>
              </w:rPr>
              <w:t>ление Ижевск» в г. Глазове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приро</w:t>
            </w:r>
            <w:r w:rsidRPr="00054664">
              <w:rPr>
                <w:sz w:val="16"/>
                <w:szCs w:val="16"/>
              </w:rPr>
              <w:t>д</w:t>
            </w:r>
            <w:r w:rsidRPr="00054664">
              <w:rPr>
                <w:sz w:val="16"/>
                <w:szCs w:val="16"/>
              </w:rPr>
              <w:t>ный газ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54.34821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0.023837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0.015169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0.011485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</w:t>
            </w:r>
          </w:p>
        </w:tc>
      </w:tr>
      <w:tr w:rsidR="00054664" w:rsidRPr="00054664" w:rsidTr="00054664"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котельная ООО «Тепловодоканал»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мазут, т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482.8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0.322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0.205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0.155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664" w:rsidRPr="00054664" w:rsidRDefault="00054664" w:rsidP="00054664">
            <w:pPr>
              <w:pStyle w:val="6"/>
              <w:ind w:left="-57" w:right="-57"/>
              <w:rPr>
                <w:sz w:val="16"/>
                <w:szCs w:val="16"/>
              </w:rPr>
            </w:pPr>
            <w:r w:rsidRPr="00054664">
              <w:rPr>
                <w:sz w:val="16"/>
                <w:szCs w:val="16"/>
              </w:rPr>
              <w:t>0.000</w:t>
            </w:r>
          </w:p>
        </w:tc>
      </w:tr>
    </w:tbl>
    <w:p w:rsidR="009E5B29" w:rsidRDefault="009E5B29" w:rsidP="00B11EF0">
      <w:pPr>
        <w:rPr>
          <w:rFonts w:cs="Arial"/>
          <w:szCs w:val="24"/>
        </w:rPr>
      </w:pPr>
    </w:p>
    <w:p w:rsidR="009E5B29" w:rsidRDefault="009E5B29" w:rsidP="00B11EF0">
      <w:pPr>
        <w:rPr>
          <w:rFonts w:cs="Arial"/>
          <w:szCs w:val="24"/>
        </w:rPr>
      </w:pPr>
    </w:p>
    <w:p w:rsidR="00875409" w:rsidRDefault="00875409" w:rsidP="00B11EF0">
      <w:pPr>
        <w:rPr>
          <w:rFonts w:cs="Arial"/>
          <w:szCs w:val="24"/>
        </w:rPr>
      </w:pPr>
    </w:p>
    <w:p w:rsidR="00875409" w:rsidRDefault="00875409" w:rsidP="00B11EF0">
      <w:pPr>
        <w:rPr>
          <w:rFonts w:cs="Arial"/>
          <w:szCs w:val="24"/>
        </w:rPr>
      </w:pPr>
    </w:p>
    <w:p w:rsidR="002A32C9" w:rsidRDefault="002A32C9" w:rsidP="00B11EF0">
      <w:pPr>
        <w:rPr>
          <w:rFonts w:cs="Arial"/>
          <w:szCs w:val="24"/>
        </w:rPr>
      </w:pPr>
    </w:p>
    <w:p w:rsidR="002A32C9" w:rsidRDefault="002A32C9" w:rsidP="00B11EF0">
      <w:pPr>
        <w:rPr>
          <w:rFonts w:cs="Arial"/>
          <w:szCs w:val="24"/>
        </w:rPr>
      </w:pPr>
    </w:p>
    <w:p w:rsidR="002A32C9" w:rsidRDefault="002A32C9" w:rsidP="00B11EF0">
      <w:pPr>
        <w:rPr>
          <w:rFonts w:cs="Arial"/>
          <w:szCs w:val="24"/>
        </w:rPr>
      </w:pPr>
    </w:p>
    <w:p w:rsidR="002A32C9" w:rsidRDefault="002A32C9" w:rsidP="00B11EF0">
      <w:pPr>
        <w:rPr>
          <w:rFonts w:cs="Arial"/>
          <w:szCs w:val="24"/>
        </w:rPr>
      </w:pPr>
    </w:p>
    <w:p w:rsidR="002A32C9" w:rsidRDefault="002A32C9" w:rsidP="00B11EF0">
      <w:pPr>
        <w:rPr>
          <w:rFonts w:cs="Arial"/>
          <w:szCs w:val="24"/>
        </w:rPr>
      </w:pPr>
    </w:p>
    <w:p w:rsidR="002A32C9" w:rsidRDefault="002A32C9" w:rsidP="00B11EF0">
      <w:pPr>
        <w:rPr>
          <w:rFonts w:cs="Arial"/>
          <w:szCs w:val="24"/>
        </w:rPr>
      </w:pPr>
    </w:p>
    <w:p w:rsidR="002A32C9" w:rsidRDefault="002A32C9" w:rsidP="00B11EF0">
      <w:pPr>
        <w:rPr>
          <w:rFonts w:cs="Arial"/>
          <w:szCs w:val="24"/>
        </w:rPr>
      </w:pPr>
    </w:p>
    <w:p w:rsidR="0073383C" w:rsidRPr="003E3C0A" w:rsidRDefault="0073383C" w:rsidP="00B11EF0">
      <w:pPr>
        <w:rPr>
          <w:rFonts w:cs="Arial"/>
          <w:color w:val="FF0000"/>
          <w:szCs w:val="24"/>
        </w:rPr>
        <w:sectPr w:rsidR="0073383C" w:rsidRPr="003E3C0A" w:rsidSect="00747475">
          <w:pgSz w:w="23814" w:h="16840" w:orient="landscape" w:code="8"/>
          <w:pgMar w:top="1134" w:right="850" w:bottom="1134" w:left="1701" w:header="709" w:footer="709" w:gutter="0"/>
          <w:cols w:space="708"/>
          <w:docGrid w:linePitch="360"/>
        </w:sectPr>
      </w:pPr>
    </w:p>
    <w:p w:rsidR="0064766A" w:rsidRPr="003E3C0A" w:rsidRDefault="007F4DDF" w:rsidP="00747475">
      <w:pPr>
        <w:pStyle w:val="21"/>
      </w:pPr>
      <w:bookmarkStart w:id="7" w:name="_Toc429062021"/>
      <w:r>
        <w:lastRenderedPageBreak/>
        <w:t>1.</w:t>
      </w:r>
      <w:r w:rsidR="0064766A" w:rsidRPr="003E3C0A">
        <w:t>2 Расчеты по каждому источнику тепловой энергии норм</w:t>
      </w:r>
      <w:r w:rsidR="0064766A" w:rsidRPr="003E3C0A">
        <w:t>а</w:t>
      </w:r>
      <w:r w:rsidR="0064766A" w:rsidRPr="003E3C0A">
        <w:t>тивных запасов аварийных видов топлива</w:t>
      </w:r>
      <w:bookmarkEnd w:id="7"/>
    </w:p>
    <w:p w:rsidR="00934E73" w:rsidRPr="00100AF4" w:rsidRDefault="00934E73" w:rsidP="00592EE3">
      <w:pPr>
        <w:rPr>
          <w:sz w:val="23"/>
          <w:szCs w:val="23"/>
        </w:rPr>
      </w:pPr>
      <w:r w:rsidRPr="00100AF4">
        <w:rPr>
          <w:sz w:val="23"/>
          <w:szCs w:val="23"/>
        </w:rPr>
        <w:t>Мазутное хозяйство предназначено для снабжения топочным мазутом (далее мазут) энергетических, паровых и водогрейных котлов, использующих мазут в кач</w:t>
      </w:r>
      <w:r w:rsidRPr="00100AF4">
        <w:rPr>
          <w:sz w:val="23"/>
          <w:szCs w:val="23"/>
        </w:rPr>
        <w:t>е</w:t>
      </w:r>
      <w:r w:rsidRPr="00100AF4">
        <w:rPr>
          <w:sz w:val="23"/>
          <w:szCs w:val="23"/>
        </w:rPr>
        <w:t xml:space="preserve">стве резервного топлива. </w:t>
      </w:r>
    </w:p>
    <w:p w:rsidR="00934E73" w:rsidRPr="00100AF4" w:rsidRDefault="00934E73" w:rsidP="00592EE3">
      <w:pPr>
        <w:rPr>
          <w:sz w:val="23"/>
          <w:szCs w:val="23"/>
        </w:rPr>
      </w:pPr>
      <w:r w:rsidRPr="00100AF4">
        <w:rPr>
          <w:sz w:val="23"/>
          <w:szCs w:val="23"/>
        </w:rPr>
        <w:t>Согласно ВНТП 81 «Нормы технологического проектирования тепловых эле</w:t>
      </w:r>
      <w:r w:rsidRPr="00100AF4">
        <w:rPr>
          <w:sz w:val="23"/>
          <w:szCs w:val="23"/>
        </w:rPr>
        <w:t>к</w:t>
      </w:r>
      <w:r w:rsidRPr="00100AF4">
        <w:rPr>
          <w:sz w:val="23"/>
          <w:szCs w:val="23"/>
        </w:rPr>
        <w:t>трических станций», суточный расход топлива определяется исходя из 24 часов р</w:t>
      </w:r>
      <w:r w:rsidRPr="00100AF4">
        <w:rPr>
          <w:sz w:val="23"/>
          <w:szCs w:val="23"/>
        </w:rPr>
        <w:t>а</w:t>
      </w:r>
      <w:r w:rsidRPr="00100AF4">
        <w:rPr>
          <w:sz w:val="23"/>
          <w:szCs w:val="23"/>
        </w:rPr>
        <w:t>боты всех энергетических котлов при их номинальной производительности. Расход топлива водогрейными котлами определяется исходя из 24 часов работы при покр</w:t>
      </w:r>
      <w:r w:rsidRPr="00100AF4">
        <w:rPr>
          <w:sz w:val="23"/>
          <w:szCs w:val="23"/>
        </w:rPr>
        <w:t>ы</w:t>
      </w:r>
      <w:r w:rsidRPr="00100AF4">
        <w:rPr>
          <w:sz w:val="23"/>
          <w:szCs w:val="23"/>
        </w:rPr>
        <w:t xml:space="preserve">тии тепловых нагрузок при средней температуре самого холодного месяца. </w:t>
      </w:r>
    </w:p>
    <w:p w:rsidR="002E3413" w:rsidRPr="00100AF4" w:rsidRDefault="00934E73" w:rsidP="00592EE3">
      <w:pPr>
        <w:rPr>
          <w:sz w:val="23"/>
          <w:szCs w:val="23"/>
        </w:rPr>
      </w:pPr>
      <w:r w:rsidRPr="00100AF4">
        <w:rPr>
          <w:sz w:val="23"/>
          <w:szCs w:val="23"/>
        </w:rPr>
        <w:t>Часовая производительность каждой нитки топливоподачи определяется по с</w:t>
      </w:r>
      <w:r w:rsidRPr="00100AF4">
        <w:rPr>
          <w:sz w:val="23"/>
          <w:szCs w:val="23"/>
        </w:rPr>
        <w:t>у</w:t>
      </w:r>
      <w:r w:rsidRPr="00100AF4">
        <w:rPr>
          <w:sz w:val="23"/>
          <w:szCs w:val="23"/>
        </w:rPr>
        <w:t>точному расходу топлива электростанции, исходя из 24 часов работы топливоподачи с запасом 10%.</w:t>
      </w:r>
    </w:p>
    <w:p w:rsidR="00F001DD" w:rsidRDefault="00F001DD" w:rsidP="00F001DD">
      <w:pPr>
        <w:ind w:left="284"/>
        <w:rPr>
          <w:rFonts w:eastAsia="Times New Roman" w:cs="Arial"/>
        </w:rPr>
      </w:pPr>
      <w:r w:rsidRPr="00100AF4">
        <w:rPr>
          <w:rFonts w:eastAsia="Times New Roman" w:cs="Arial"/>
        </w:rPr>
        <w:t>Емкость хранилищ жидкого топлива в зависимости от суточного расхода следует принимать по таблице</w:t>
      </w:r>
      <w:r w:rsidR="00561C4C" w:rsidRPr="00100AF4">
        <w:rPr>
          <w:rFonts w:cs="Arial"/>
        </w:rPr>
        <w:t xml:space="preserve"> </w:t>
      </w:r>
      <w:r w:rsidR="009656A5" w:rsidRPr="00100AF4">
        <w:fldChar w:fldCharType="begin"/>
      </w:r>
      <w:r w:rsidR="009656A5" w:rsidRPr="00100AF4">
        <w:instrText xml:space="preserve"> REF _Ref358098810 \h  \* MERGEFORMAT </w:instrText>
      </w:r>
      <w:r w:rsidR="009656A5" w:rsidRPr="00100AF4">
        <w:fldChar w:fldCharType="separate"/>
      </w:r>
      <w:r w:rsidR="00747475" w:rsidRPr="00747475">
        <w:t>4</w:t>
      </w:r>
      <w:r w:rsidR="009656A5" w:rsidRPr="00100AF4">
        <w:fldChar w:fldCharType="end"/>
      </w:r>
      <w:r w:rsidRPr="00100AF4">
        <w:rPr>
          <w:rFonts w:eastAsia="Times New Roman" w:cs="Arial"/>
        </w:rPr>
        <w:t>.</w:t>
      </w:r>
    </w:p>
    <w:p w:rsidR="00747475" w:rsidRPr="00100AF4" w:rsidRDefault="00747475" w:rsidP="00F001DD">
      <w:pPr>
        <w:ind w:left="284"/>
        <w:rPr>
          <w:rFonts w:eastAsia="Times New Roman" w:cs="Arial"/>
        </w:rPr>
      </w:pPr>
    </w:p>
    <w:p w:rsidR="002E3413" w:rsidRPr="00100AF4" w:rsidRDefault="00561C4C" w:rsidP="00747475">
      <w:pPr>
        <w:pStyle w:val="41"/>
        <w:rPr>
          <w:b/>
        </w:rPr>
      </w:pPr>
      <w:r w:rsidRPr="00100AF4">
        <w:t xml:space="preserve">Таблица </w:t>
      </w:r>
      <w:r w:rsidR="003D236E" w:rsidRPr="00100AF4">
        <w:rPr>
          <w:b/>
        </w:rPr>
        <w:fldChar w:fldCharType="begin"/>
      </w:r>
      <w:r w:rsidRPr="00100AF4">
        <w:instrText xml:space="preserve"> SEQ Таблица \* ARABIC </w:instrText>
      </w:r>
      <w:r w:rsidR="003D236E" w:rsidRPr="00100AF4">
        <w:rPr>
          <w:b/>
        </w:rPr>
        <w:fldChar w:fldCharType="separate"/>
      </w:r>
      <w:bookmarkStart w:id="8" w:name="_Ref358098810"/>
      <w:r w:rsidR="00747475">
        <w:rPr>
          <w:b/>
          <w:noProof/>
        </w:rPr>
        <w:t>4</w:t>
      </w:r>
      <w:bookmarkEnd w:id="8"/>
      <w:r w:rsidR="003D236E" w:rsidRPr="00100AF4">
        <w:rPr>
          <w:b/>
        </w:rPr>
        <w:fldChar w:fldCharType="end"/>
      </w:r>
      <w:r w:rsidRPr="00100AF4">
        <w:t xml:space="preserve"> – Емкость хранилищ жидкого топлива в зависимости от суточного ра</w:t>
      </w:r>
      <w:r w:rsidRPr="00100AF4">
        <w:t>с</w:t>
      </w:r>
      <w:r w:rsidRPr="00100AF4">
        <w:t>хода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3"/>
        <w:gridCol w:w="5286"/>
      </w:tblGrid>
      <w:tr w:rsidR="00100AF4" w:rsidRPr="00100AF4" w:rsidTr="00E73EDC">
        <w:trPr>
          <w:trHeight w:val="201"/>
          <w:tblHeader/>
          <w:jc w:val="center"/>
        </w:trPr>
        <w:tc>
          <w:tcPr>
            <w:tcW w:w="3863" w:type="dxa"/>
            <w:vAlign w:val="center"/>
          </w:tcPr>
          <w:p w:rsidR="00F001DD" w:rsidRPr="00100AF4" w:rsidRDefault="00F001DD" w:rsidP="00E73EDC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Название и способ доставки топлива</w:t>
            </w:r>
          </w:p>
        </w:tc>
        <w:tc>
          <w:tcPr>
            <w:tcW w:w="5286" w:type="dxa"/>
            <w:vAlign w:val="center"/>
          </w:tcPr>
          <w:p w:rsidR="00F001DD" w:rsidRPr="00100AF4" w:rsidRDefault="00F001DD" w:rsidP="00E73EDC">
            <w:pPr>
              <w:ind w:firstLine="5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Емкость хранилищ жидкого топлива</w:t>
            </w:r>
          </w:p>
        </w:tc>
      </w:tr>
      <w:tr w:rsidR="00100AF4" w:rsidRPr="00100AF4" w:rsidTr="00E73EDC">
        <w:trPr>
          <w:trHeight w:val="207"/>
          <w:jc w:val="center"/>
        </w:trPr>
        <w:tc>
          <w:tcPr>
            <w:tcW w:w="3863" w:type="dxa"/>
            <w:vAlign w:val="center"/>
          </w:tcPr>
          <w:p w:rsidR="00F001DD" w:rsidRPr="00100AF4" w:rsidRDefault="00F001DD" w:rsidP="00E73EDC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1. Основное и резервное, доставля</w:t>
            </w:r>
            <w:r w:rsidRPr="00100AF4">
              <w:rPr>
                <w:rFonts w:eastAsia="Times New Roman" w:cs="Arial"/>
                <w:sz w:val="20"/>
                <w:szCs w:val="20"/>
              </w:rPr>
              <w:t>е</w:t>
            </w:r>
            <w:r w:rsidRPr="00100AF4">
              <w:rPr>
                <w:rFonts w:eastAsia="Times New Roman" w:cs="Arial"/>
                <w:sz w:val="20"/>
                <w:szCs w:val="20"/>
              </w:rPr>
              <w:t>мое по железной дороге</w:t>
            </w:r>
          </w:p>
        </w:tc>
        <w:tc>
          <w:tcPr>
            <w:tcW w:w="5286" w:type="dxa"/>
            <w:vAlign w:val="center"/>
          </w:tcPr>
          <w:p w:rsidR="00F001DD" w:rsidRPr="00100AF4" w:rsidRDefault="00F001DD" w:rsidP="00E73EDC">
            <w:pPr>
              <w:ind w:firstLine="5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На 10-суточный расход</w:t>
            </w:r>
          </w:p>
        </w:tc>
      </w:tr>
      <w:tr w:rsidR="00100AF4" w:rsidRPr="00100AF4" w:rsidTr="00E73EDC">
        <w:trPr>
          <w:trHeight w:val="201"/>
          <w:jc w:val="center"/>
        </w:trPr>
        <w:tc>
          <w:tcPr>
            <w:tcW w:w="3863" w:type="dxa"/>
            <w:vAlign w:val="center"/>
          </w:tcPr>
          <w:p w:rsidR="00F001DD" w:rsidRPr="00100AF4" w:rsidRDefault="00F001DD" w:rsidP="00E73EDC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2. То же, доставляемое автомобил</w:t>
            </w:r>
            <w:r w:rsidRPr="00100AF4">
              <w:rPr>
                <w:rFonts w:eastAsia="Times New Roman" w:cs="Arial"/>
                <w:sz w:val="20"/>
                <w:szCs w:val="20"/>
              </w:rPr>
              <w:t>ь</w:t>
            </w:r>
            <w:r w:rsidRPr="00100AF4">
              <w:rPr>
                <w:rFonts w:eastAsia="Times New Roman" w:cs="Arial"/>
                <w:sz w:val="20"/>
                <w:szCs w:val="20"/>
              </w:rPr>
              <w:t>ным транспортом</w:t>
            </w:r>
          </w:p>
        </w:tc>
        <w:tc>
          <w:tcPr>
            <w:tcW w:w="5286" w:type="dxa"/>
            <w:vAlign w:val="center"/>
          </w:tcPr>
          <w:p w:rsidR="00F001DD" w:rsidRPr="00100AF4" w:rsidRDefault="00F001DD" w:rsidP="00E73EDC">
            <w:pPr>
              <w:ind w:firstLine="5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На 5-суточный расход</w:t>
            </w:r>
          </w:p>
        </w:tc>
      </w:tr>
      <w:tr w:rsidR="00100AF4" w:rsidRPr="00100AF4" w:rsidTr="00E73EDC">
        <w:trPr>
          <w:trHeight w:val="408"/>
          <w:jc w:val="center"/>
        </w:trPr>
        <w:tc>
          <w:tcPr>
            <w:tcW w:w="3863" w:type="dxa"/>
            <w:vAlign w:val="center"/>
          </w:tcPr>
          <w:p w:rsidR="00F001DD" w:rsidRPr="00100AF4" w:rsidRDefault="00F001DD" w:rsidP="00E73EDC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3. Аварийное для котельных, работ</w:t>
            </w:r>
            <w:r w:rsidRPr="00100AF4">
              <w:rPr>
                <w:rFonts w:eastAsia="Times New Roman" w:cs="Arial"/>
                <w:sz w:val="20"/>
                <w:szCs w:val="20"/>
              </w:rPr>
              <w:t>а</w:t>
            </w:r>
            <w:r w:rsidRPr="00100AF4">
              <w:rPr>
                <w:rFonts w:eastAsia="Times New Roman" w:cs="Arial"/>
                <w:sz w:val="20"/>
                <w:szCs w:val="20"/>
              </w:rPr>
              <w:t>ющих на газе, доставляемое по ж</w:t>
            </w:r>
            <w:r w:rsidRPr="00100AF4">
              <w:rPr>
                <w:rFonts w:eastAsia="Times New Roman" w:cs="Arial"/>
                <w:sz w:val="20"/>
                <w:szCs w:val="20"/>
              </w:rPr>
              <w:t>е</w:t>
            </w:r>
            <w:r w:rsidRPr="00100AF4">
              <w:rPr>
                <w:rFonts w:eastAsia="Times New Roman" w:cs="Arial"/>
                <w:sz w:val="20"/>
                <w:szCs w:val="20"/>
              </w:rPr>
              <w:t>лезной дороге или автомобильным транспортом</w:t>
            </w:r>
          </w:p>
        </w:tc>
        <w:tc>
          <w:tcPr>
            <w:tcW w:w="5286" w:type="dxa"/>
            <w:vAlign w:val="center"/>
          </w:tcPr>
          <w:p w:rsidR="00F001DD" w:rsidRPr="00100AF4" w:rsidRDefault="00F001DD" w:rsidP="00E73EDC">
            <w:pPr>
              <w:ind w:firstLine="5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На 3-суточный расход</w:t>
            </w:r>
          </w:p>
        </w:tc>
      </w:tr>
      <w:tr w:rsidR="00100AF4" w:rsidRPr="00100AF4" w:rsidTr="00E73EDC">
        <w:trPr>
          <w:trHeight w:val="97"/>
          <w:jc w:val="center"/>
        </w:trPr>
        <w:tc>
          <w:tcPr>
            <w:tcW w:w="3863" w:type="dxa"/>
            <w:vAlign w:val="center"/>
          </w:tcPr>
          <w:p w:rsidR="00F001DD" w:rsidRPr="00100AF4" w:rsidRDefault="00F001DD" w:rsidP="00E73EDC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4. Основное, резервное и аварийное, доставляемое по трубопроводам</w:t>
            </w:r>
          </w:p>
        </w:tc>
        <w:tc>
          <w:tcPr>
            <w:tcW w:w="5286" w:type="dxa"/>
            <w:vAlign w:val="center"/>
          </w:tcPr>
          <w:p w:rsidR="00F001DD" w:rsidRPr="00100AF4" w:rsidRDefault="00F001DD" w:rsidP="00E73EDC">
            <w:pPr>
              <w:ind w:firstLine="5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На 2-суточный расход</w:t>
            </w:r>
          </w:p>
        </w:tc>
      </w:tr>
      <w:tr w:rsidR="00100AF4" w:rsidRPr="00100AF4" w:rsidTr="00E73EDC">
        <w:trPr>
          <w:trHeight w:val="305"/>
          <w:jc w:val="center"/>
        </w:trPr>
        <w:tc>
          <w:tcPr>
            <w:tcW w:w="3863" w:type="dxa"/>
            <w:vAlign w:val="center"/>
          </w:tcPr>
          <w:p w:rsidR="00F001DD" w:rsidRPr="00100AF4" w:rsidRDefault="00F001DD" w:rsidP="00E73EDC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5. Растопочное для котельных прои</w:t>
            </w:r>
            <w:r w:rsidRPr="00100AF4">
              <w:rPr>
                <w:rFonts w:eastAsia="Times New Roman" w:cs="Arial"/>
                <w:sz w:val="20"/>
                <w:szCs w:val="20"/>
              </w:rPr>
              <w:t>з</w:t>
            </w:r>
            <w:r w:rsidRPr="00100AF4">
              <w:rPr>
                <w:rFonts w:eastAsia="Times New Roman" w:cs="Arial"/>
                <w:sz w:val="20"/>
                <w:szCs w:val="20"/>
              </w:rPr>
              <w:t>водительностью 100 Гкал/ч и менее</w:t>
            </w:r>
          </w:p>
        </w:tc>
        <w:tc>
          <w:tcPr>
            <w:tcW w:w="5286" w:type="dxa"/>
            <w:vAlign w:val="center"/>
          </w:tcPr>
          <w:p w:rsidR="00F001DD" w:rsidRPr="00100AF4" w:rsidRDefault="00F001DD" w:rsidP="00E73EDC">
            <w:pPr>
              <w:ind w:firstLine="5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Два резервуаре по 100 т</w:t>
            </w:r>
          </w:p>
        </w:tc>
      </w:tr>
      <w:tr w:rsidR="00100AF4" w:rsidRPr="00100AF4" w:rsidTr="00E73EDC">
        <w:trPr>
          <w:trHeight w:val="201"/>
          <w:jc w:val="center"/>
        </w:trPr>
        <w:tc>
          <w:tcPr>
            <w:tcW w:w="3863" w:type="dxa"/>
            <w:vAlign w:val="center"/>
          </w:tcPr>
          <w:p w:rsidR="00F001DD" w:rsidRPr="00100AF4" w:rsidRDefault="00F001DD" w:rsidP="00E73EDC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6. То же, для котельных производ</w:t>
            </w:r>
            <w:r w:rsidRPr="00100AF4">
              <w:rPr>
                <w:rFonts w:eastAsia="Times New Roman" w:cs="Arial"/>
                <w:sz w:val="20"/>
                <w:szCs w:val="20"/>
              </w:rPr>
              <w:t>и</w:t>
            </w:r>
            <w:r w:rsidRPr="00100AF4">
              <w:rPr>
                <w:rFonts w:eastAsia="Times New Roman" w:cs="Arial"/>
                <w:sz w:val="20"/>
                <w:szCs w:val="20"/>
              </w:rPr>
              <w:t>тельностью более 100 Гкал/ч</w:t>
            </w:r>
          </w:p>
        </w:tc>
        <w:tc>
          <w:tcPr>
            <w:tcW w:w="5286" w:type="dxa"/>
            <w:vAlign w:val="center"/>
          </w:tcPr>
          <w:p w:rsidR="00F001DD" w:rsidRPr="00100AF4" w:rsidRDefault="00F001DD" w:rsidP="00E73EDC">
            <w:pPr>
              <w:ind w:firstLine="51"/>
              <w:jc w:val="center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sz w:val="20"/>
                <w:szCs w:val="20"/>
              </w:rPr>
              <w:t>Два резервуаре по 200 т</w:t>
            </w:r>
          </w:p>
        </w:tc>
      </w:tr>
      <w:tr w:rsidR="00F001DD" w:rsidRPr="00100AF4" w:rsidTr="00E73EDC">
        <w:trPr>
          <w:trHeight w:val="207"/>
          <w:jc w:val="center"/>
        </w:trPr>
        <w:tc>
          <w:tcPr>
            <w:tcW w:w="9149" w:type="dxa"/>
            <w:gridSpan w:val="2"/>
            <w:vAlign w:val="center"/>
          </w:tcPr>
          <w:p w:rsidR="00F001DD" w:rsidRPr="00100AF4" w:rsidRDefault="00F001DD" w:rsidP="007064D6">
            <w:pPr>
              <w:ind w:firstLine="0"/>
              <w:jc w:val="left"/>
              <w:rPr>
                <w:rFonts w:eastAsia="Times New Roman" w:cs="Arial"/>
                <w:sz w:val="20"/>
                <w:szCs w:val="20"/>
              </w:rPr>
            </w:pPr>
            <w:r w:rsidRPr="00100AF4">
              <w:rPr>
                <w:rFonts w:eastAsia="Times New Roman" w:cs="Arial"/>
                <w:bCs/>
                <w:sz w:val="20"/>
                <w:szCs w:val="20"/>
              </w:rPr>
              <w:t>Примечание</w:t>
            </w:r>
            <w:r w:rsidRPr="00100AF4">
              <w:rPr>
                <w:rFonts w:eastAsia="Times New Roman" w:cs="Arial"/>
                <w:sz w:val="20"/>
                <w:szCs w:val="20"/>
              </w:rPr>
              <w:t>. Резервным называется жидкое топливо, предназначенное для сжигания в теч</w:t>
            </w:r>
            <w:r w:rsidRPr="00100AF4">
              <w:rPr>
                <w:rFonts w:eastAsia="Times New Roman" w:cs="Arial"/>
                <w:sz w:val="20"/>
                <w:szCs w:val="20"/>
              </w:rPr>
              <w:t>е</w:t>
            </w:r>
            <w:r w:rsidRPr="00100AF4">
              <w:rPr>
                <w:rFonts w:eastAsia="Times New Roman" w:cs="Arial"/>
                <w:sz w:val="20"/>
                <w:szCs w:val="20"/>
              </w:rPr>
              <w:t>ние длительного периода наряду с газом при перерывах в его подаче</w:t>
            </w:r>
          </w:p>
        </w:tc>
      </w:tr>
    </w:tbl>
    <w:p w:rsidR="00934E73" w:rsidRPr="00100AF4" w:rsidRDefault="00934E73" w:rsidP="00F818EA">
      <w:pPr>
        <w:ind w:firstLine="0"/>
        <w:rPr>
          <w:rFonts w:cs="Arial"/>
          <w:szCs w:val="24"/>
        </w:rPr>
      </w:pPr>
    </w:p>
    <w:p w:rsidR="00561C4C" w:rsidRPr="00100AF4" w:rsidRDefault="00561C4C" w:rsidP="00561C4C">
      <w:pPr>
        <w:rPr>
          <w:rFonts w:eastAsia="Times New Roman" w:cs="Times New Roman"/>
          <w:sz w:val="23"/>
          <w:szCs w:val="23"/>
        </w:rPr>
      </w:pPr>
      <w:r w:rsidRPr="00100AF4">
        <w:rPr>
          <w:rFonts w:eastAsia="Times New Roman" w:cs="Times New Roman"/>
          <w:sz w:val="23"/>
          <w:szCs w:val="23"/>
        </w:rPr>
        <w:lastRenderedPageBreak/>
        <w:t>Для хранения основного и резервного топлива должно предусматриваться не менее двух резервуаров. Для хранения аварийного топлива допускается установка одного резервуара.</w:t>
      </w:r>
    </w:p>
    <w:p w:rsidR="00561C4C" w:rsidRPr="00100AF4" w:rsidRDefault="00561C4C" w:rsidP="00561C4C">
      <w:pPr>
        <w:rPr>
          <w:rFonts w:eastAsia="Times New Roman" w:cs="Times New Roman"/>
          <w:sz w:val="23"/>
          <w:szCs w:val="23"/>
        </w:rPr>
      </w:pPr>
      <w:r w:rsidRPr="00100AF4">
        <w:rPr>
          <w:rFonts w:eastAsia="Times New Roman" w:cs="Times New Roman"/>
          <w:sz w:val="23"/>
          <w:szCs w:val="23"/>
        </w:rPr>
        <w:t>Общая вместимость резервуаров для хранения жидких присадок определяется условиями их доставки (вместимостью железнодорожных или автомобильных ц</w:t>
      </w:r>
      <w:r w:rsidRPr="00100AF4">
        <w:rPr>
          <w:rFonts w:eastAsia="Times New Roman" w:cs="Times New Roman"/>
          <w:sz w:val="23"/>
          <w:szCs w:val="23"/>
        </w:rPr>
        <w:t>и</w:t>
      </w:r>
      <w:r w:rsidRPr="00100AF4">
        <w:rPr>
          <w:rFonts w:eastAsia="Times New Roman" w:cs="Times New Roman"/>
          <w:sz w:val="23"/>
          <w:szCs w:val="23"/>
        </w:rPr>
        <w:t>стерн), но должна составлять не менее 0,5 % вместимости мазутохранилища. Кол</w:t>
      </w:r>
      <w:r w:rsidRPr="00100AF4">
        <w:rPr>
          <w:rFonts w:eastAsia="Times New Roman" w:cs="Times New Roman"/>
          <w:sz w:val="23"/>
          <w:szCs w:val="23"/>
        </w:rPr>
        <w:t>и</w:t>
      </w:r>
      <w:r w:rsidRPr="00100AF4">
        <w:rPr>
          <w:rFonts w:eastAsia="Times New Roman" w:cs="Times New Roman"/>
          <w:sz w:val="23"/>
          <w:szCs w:val="23"/>
        </w:rPr>
        <w:t>чество резервуаров принимается не менее двух.</w:t>
      </w:r>
    </w:p>
    <w:p w:rsidR="00561C4C" w:rsidRPr="00100AF4" w:rsidRDefault="00561C4C" w:rsidP="00561C4C">
      <w:pPr>
        <w:rPr>
          <w:rFonts w:eastAsia="Times New Roman" w:cs="Times New Roman"/>
          <w:sz w:val="23"/>
          <w:szCs w:val="23"/>
        </w:rPr>
      </w:pPr>
      <w:r w:rsidRPr="00100AF4">
        <w:rPr>
          <w:rFonts w:eastAsia="Times New Roman" w:cs="Times New Roman"/>
          <w:sz w:val="23"/>
          <w:szCs w:val="23"/>
        </w:rPr>
        <w:t>Для встроенных и пристроенных индивидуальных котельных на жидком топл</w:t>
      </w:r>
      <w:r w:rsidRPr="00100AF4">
        <w:rPr>
          <w:rFonts w:eastAsia="Times New Roman" w:cs="Times New Roman"/>
          <w:sz w:val="23"/>
          <w:szCs w:val="23"/>
        </w:rPr>
        <w:t>и</w:t>
      </w:r>
      <w:r w:rsidRPr="00100AF4">
        <w:rPr>
          <w:rFonts w:eastAsia="Times New Roman" w:cs="Times New Roman"/>
          <w:sz w:val="23"/>
          <w:szCs w:val="23"/>
        </w:rPr>
        <w:t>ве следует предусматривать склад топлива, расположенный вне помещения котел</w:t>
      </w:r>
      <w:r w:rsidRPr="00100AF4">
        <w:rPr>
          <w:rFonts w:eastAsia="Times New Roman" w:cs="Times New Roman"/>
          <w:sz w:val="23"/>
          <w:szCs w:val="23"/>
        </w:rPr>
        <w:t>ь</w:t>
      </w:r>
      <w:r w:rsidRPr="00100AF4">
        <w:rPr>
          <w:rFonts w:eastAsia="Times New Roman" w:cs="Times New Roman"/>
          <w:sz w:val="23"/>
          <w:szCs w:val="23"/>
        </w:rPr>
        <w:t>ной и отапливаемых зданий, вместимостью, рассчитанной из условий хранения не менее 5-суточного расхода топлива, определенного для режима, соответствующего тепловой нагрузке котельной в режиме самого холодного месяца, количество резе</w:t>
      </w:r>
      <w:r w:rsidRPr="00100AF4">
        <w:rPr>
          <w:rFonts w:eastAsia="Times New Roman" w:cs="Times New Roman"/>
          <w:sz w:val="23"/>
          <w:szCs w:val="23"/>
        </w:rPr>
        <w:t>р</w:t>
      </w:r>
      <w:r w:rsidRPr="00100AF4">
        <w:rPr>
          <w:rFonts w:eastAsia="Times New Roman" w:cs="Times New Roman"/>
          <w:sz w:val="23"/>
          <w:szCs w:val="23"/>
        </w:rPr>
        <w:t>вуаров при этом не нормируется.</w:t>
      </w:r>
    </w:p>
    <w:p w:rsidR="00934E73" w:rsidRPr="00100AF4" w:rsidRDefault="00934E73" w:rsidP="00592EE3">
      <w:r w:rsidRPr="00100AF4">
        <w:t>Расчет нормативов создания запасов топлива на котельных осуществляе</w:t>
      </w:r>
      <w:r w:rsidRPr="00100AF4">
        <w:t>т</w:t>
      </w:r>
      <w:r w:rsidRPr="00100AF4">
        <w:t xml:space="preserve">ся в соответствии со следующими документами: </w:t>
      </w:r>
    </w:p>
    <w:p w:rsidR="00934E73" w:rsidRPr="00100AF4" w:rsidRDefault="00934E73" w:rsidP="00592EE3">
      <w:r w:rsidRPr="00100AF4">
        <w:rPr>
          <w:rFonts w:ascii="Wingdings" w:hAnsi="Wingdings" w:cs="Wingdings"/>
        </w:rPr>
        <w:t></w:t>
      </w:r>
      <w:r w:rsidRPr="00100AF4">
        <w:rPr>
          <w:rFonts w:ascii="Wingdings" w:hAnsi="Wingdings" w:cs="Wingdings"/>
        </w:rPr>
        <w:t></w:t>
      </w:r>
      <w:r w:rsidRPr="00100AF4">
        <w:t xml:space="preserve">«Инструкция по организации в Минэнерго России работы по расчету и обоснованию нормативов создания запасов топлива на тепловых электростанциях и котельных», утвержденная приказом Министерства энергетики РФ от 4 сентября 2008 г. № 66. </w:t>
      </w:r>
    </w:p>
    <w:p w:rsidR="00934E73" w:rsidRPr="00100AF4" w:rsidRDefault="00934E73" w:rsidP="00592EE3">
      <w:r w:rsidRPr="00100AF4">
        <w:rPr>
          <w:rFonts w:ascii="Wingdings" w:hAnsi="Wingdings" w:cs="Wingdings"/>
        </w:rPr>
        <w:t></w:t>
      </w:r>
      <w:r w:rsidRPr="00100AF4">
        <w:rPr>
          <w:rFonts w:ascii="Wingdings" w:hAnsi="Wingdings" w:cs="Wingdings"/>
        </w:rPr>
        <w:t></w:t>
      </w:r>
      <w:r w:rsidRPr="00100AF4">
        <w:t>Информационное письмо Департамента государственной энергетич</w:t>
      </w:r>
      <w:r w:rsidRPr="00100AF4">
        <w:t>е</w:t>
      </w:r>
      <w:r w:rsidRPr="00100AF4">
        <w:t>ской политики энергоэффективности Минэнерго России от 21 сентября 2009 г. (разъяснения) «О повышении качества подготовки расчетов и обоснований но</w:t>
      </w:r>
      <w:r w:rsidRPr="00100AF4">
        <w:t>р</w:t>
      </w:r>
      <w:r w:rsidRPr="00100AF4">
        <w:t>мативов создания запасов топлива для котельных жилищно-коммунального ко</w:t>
      </w:r>
      <w:r w:rsidRPr="00100AF4">
        <w:t>м</w:t>
      </w:r>
      <w:r w:rsidRPr="00100AF4">
        <w:t xml:space="preserve">плекса и энергопредприятий». </w:t>
      </w:r>
    </w:p>
    <w:p w:rsidR="00934E73" w:rsidRPr="00100AF4" w:rsidRDefault="00934E73" w:rsidP="00592EE3"/>
    <w:p w:rsidR="00934E73" w:rsidRPr="00100AF4" w:rsidRDefault="00934E73" w:rsidP="00592EE3">
      <w:r w:rsidRPr="00100AF4">
        <w:t xml:space="preserve">Порядок расчёта и обоснования нормативов создания запасов топлива на тепловых электростанциях и котельных устанавливает основные требования к нормированию технологических запасов топлива при производстве электрической и тепловой энергии. </w:t>
      </w:r>
    </w:p>
    <w:p w:rsidR="00934E73" w:rsidRPr="00100AF4" w:rsidRDefault="00934E73" w:rsidP="00592EE3">
      <w:r w:rsidRPr="00100AF4">
        <w:t>Норматив создания технологических запасов топлива на тепловых электр</w:t>
      </w:r>
      <w:r w:rsidRPr="00100AF4">
        <w:t>о</w:t>
      </w:r>
      <w:r w:rsidRPr="00100AF4">
        <w:t xml:space="preserve">станциях и котельных является общим нормативным запасом топлива (далее - ОНЗТ) и определяется по сумме объёмов неснижаемого нормативного запаса топлива (далее - ННЗТ) и нормативного эксплуатационного запаса основного или резервного видов топлива (далее - НЭЗТ). </w:t>
      </w:r>
    </w:p>
    <w:p w:rsidR="00934E73" w:rsidRPr="00100AF4" w:rsidRDefault="00934E73" w:rsidP="00592EE3">
      <w:r w:rsidRPr="00100AF4">
        <w:lastRenderedPageBreak/>
        <w:t>ННЗТ создается на электростанциях и котельных организаций электроэне</w:t>
      </w:r>
      <w:r w:rsidRPr="00100AF4">
        <w:t>р</w:t>
      </w:r>
      <w:r w:rsidRPr="00100AF4">
        <w:t>гетики для поддержания плюсовых температур в главном корпусе, вспомогател</w:t>
      </w:r>
      <w:r w:rsidRPr="00100AF4">
        <w:t>ь</w:t>
      </w:r>
      <w:r w:rsidRPr="00100AF4">
        <w:t xml:space="preserve">ных зданиях и сооружениях в режиме "выживания" с минимальной расчетной электрической и тепловой нагрузкой по условиям самого холодного месяца года. </w:t>
      </w:r>
    </w:p>
    <w:p w:rsidR="00934E73" w:rsidRPr="00100AF4" w:rsidRDefault="00934E73" w:rsidP="00592EE3">
      <w:r w:rsidRPr="00100AF4">
        <w:t>ННЗТ для электростанций и котельных, сжигающих уголь, мазут и дизел</w:t>
      </w:r>
      <w:r w:rsidRPr="00100AF4">
        <w:t>ь</w:t>
      </w:r>
      <w:r w:rsidRPr="00100AF4">
        <w:t>ное топливо, обеспечивает работу тепловых электростанций в режиме "выжив</w:t>
      </w:r>
      <w:r w:rsidRPr="00100AF4">
        <w:t>а</w:t>
      </w:r>
      <w:r w:rsidRPr="00100AF4">
        <w:t>ния" в течение семи суток, а для тепловых электростанций и котельных, сжига</w:t>
      </w:r>
      <w:r w:rsidRPr="00100AF4">
        <w:t>ю</w:t>
      </w:r>
      <w:r w:rsidRPr="00100AF4">
        <w:t xml:space="preserve">щих газ, - трех суток. </w:t>
      </w:r>
    </w:p>
    <w:p w:rsidR="00934E73" w:rsidRPr="00100AF4" w:rsidRDefault="00934E73" w:rsidP="00592EE3">
      <w:r w:rsidRPr="00100AF4">
        <w:t>ННЗТ обеспечивает работу электростанции и котельной в режиме "выжив</w:t>
      </w:r>
      <w:r w:rsidRPr="00100AF4">
        <w:t>а</w:t>
      </w:r>
      <w:r w:rsidRPr="00100AF4">
        <w:t>ния" с минимальной расчётной электрической и тепловой нагрузкой по условиям самого холодного месяца года и составом оборудования, позволяющим подде</w:t>
      </w:r>
      <w:r w:rsidRPr="00100AF4">
        <w:t>р</w:t>
      </w:r>
      <w:r w:rsidRPr="00100AF4">
        <w:t xml:space="preserve">живать плюсовые температуры в главном корпусе, вспомогательных зданиях и сооружениях. </w:t>
      </w:r>
    </w:p>
    <w:p w:rsidR="00934E73" w:rsidRPr="00100AF4" w:rsidRDefault="00934E73" w:rsidP="00592EE3">
      <w:r w:rsidRPr="00100AF4">
        <w:t>Для электростанций и котельных, работающих на газе, ННЗТ устанавлив</w:t>
      </w:r>
      <w:r w:rsidRPr="00100AF4">
        <w:t>а</w:t>
      </w:r>
      <w:r w:rsidRPr="00100AF4">
        <w:t xml:space="preserve">ется по резервному топливу. </w:t>
      </w:r>
    </w:p>
    <w:p w:rsidR="00934E73" w:rsidRPr="00100AF4" w:rsidRDefault="00934E73" w:rsidP="00592EE3">
      <w:r w:rsidRPr="00100AF4">
        <w:t>ННЗТ по электростанциям организаций электроэнергетики определяется по согласованию с соответствующим субъектом оперативно-диспетчерского упра</w:t>
      </w:r>
      <w:r w:rsidRPr="00100AF4">
        <w:t>в</w:t>
      </w:r>
      <w:r w:rsidRPr="00100AF4">
        <w:t xml:space="preserve">ления. </w:t>
      </w:r>
    </w:p>
    <w:p w:rsidR="00934E73" w:rsidRPr="00100AF4" w:rsidRDefault="00934E73" w:rsidP="00592EE3">
      <w:r w:rsidRPr="00100AF4">
        <w:t>НЭЗТ необходим для надёжной и стабильной работы электростанций и к</w:t>
      </w:r>
      <w:r w:rsidRPr="00100AF4">
        <w:t>о</w:t>
      </w:r>
      <w:r w:rsidRPr="00100AF4">
        <w:t xml:space="preserve">тельных и обеспечивает плановую выработку электрической и тепловой энергии. </w:t>
      </w:r>
    </w:p>
    <w:p w:rsidR="00934E73" w:rsidRPr="00100AF4" w:rsidRDefault="00934E73" w:rsidP="00592EE3">
      <w:r w:rsidRPr="00100AF4">
        <w:t>Расчет НЭЗТ производится ежегодно для каждой электростанции и котел</w:t>
      </w:r>
      <w:r w:rsidRPr="00100AF4">
        <w:t>ь</w:t>
      </w:r>
      <w:r w:rsidRPr="00100AF4">
        <w:t xml:space="preserve">ной, сжигающей или имеющей в качестве резервного твердое или жидкое топливо (уголь, мазут, торф, дизельное топливо). </w:t>
      </w:r>
    </w:p>
    <w:p w:rsidR="00934E73" w:rsidRPr="00100AF4" w:rsidRDefault="00934E73" w:rsidP="00592EE3">
      <w:r w:rsidRPr="00100AF4">
        <w:t>Расчеты ННЗТ и НЭЗТ производятся по электростанциям (котельным) орг</w:t>
      </w:r>
      <w:r w:rsidRPr="00100AF4">
        <w:t>а</w:t>
      </w:r>
      <w:r w:rsidRPr="00100AF4">
        <w:t>низаций электроэнергетики и отопительным (производственно-отопительным) к</w:t>
      </w:r>
      <w:r w:rsidRPr="00100AF4">
        <w:t>о</w:t>
      </w:r>
      <w:r w:rsidRPr="00100AF4">
        <w:t>тельным организаций, не относящихся к организациям электроэнергетики, согла</w:t>
      </w:r>
      <w:r w:rsidRPr="00100AF4">
        <w:t>с</w:t>
      </w:r>
      <w:r w:rsidRPr="00100AF4">
        <w:t xml:space="preserve">но </w:t>
      </w:r>
      <w:r w:rsidR="00692ECB" w:rsidRPr="00100AF4">
        <w:t>главам,</w:t>
      </w:r>
      <w:r w:rsidRPr="00100AF4">
        <w:t xml:space="preserve"> II и III «Инструкции об организации в Минэнерго России работы по ра</w:t>
      </w:r>
      <w:r w:rsidRPr="00100AF4">
        <w:t>с</w:t>
      </w:r>
      <w:r w:rsidRPr="00100AF4">
        <w:t>чету и обоснованию нормативов создания запасов топлива на тепловых электр</w:t>
      </w:r>
      <w:r w:rsidRPr="00100AF4">
        <w:t>о</w:t>
      </w:r>
      <w:r w:rsidRPr="00100AF4">
        <w:t>станциях и котельных» (Приказ Министерства энергетики РФ от 04.09.2008 года №66). В результатах расчетов значения нормативов представляются в тоннах натурального твердого и жидкого топлива и округляются до десятых долей ук</w:t>
      </w:r>
      <w:r w:rsidRPr="00100AF4">
        <w:t>а</w:t>
      </w:r>
      <w:r w:rsidRPr="00100AF4">
        <w:t>занной единицы измерения.</w:t>
      </w:r>
    </w:p>
    <w:p w:rsidR="003E3C0A" w:rsidRPr="003E3C0A" w:rsidRDefault="003E3C0A" w:rsidP="00747475">
      <w:pPr>
        <w:pStyle w:val="Default"/>
        <w:rPr>
          <w:rFonts w:ascii="Arial" w:hAnsi="Arial" w:cs="Arial"/>
          <w:color w:val="FF0000"/>
        </w:rPr>
      </w:pPr>
    </w:p>
    <w:sectPr w:rsidR="003E3C0A" w:rsidRPr="003E3C0A" w:rsidSect="007C2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763" w:rsidRDefault="00351763" w:rsidP="009656A5">
      <w:pPr>
        <w:spacing w:line="240" w:lineRule="auto"/>
      </w:pPr>
      <w:r>
        <w:separator/>
      </w:r>
    </w:p>
  </w:endnote>
  <w:endnote w:type="continuationSeparator" w:id="0">
    <w:p w:rsidR="00351763" w:rsidRDefault="00351763" w:rsidP="009656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029392"/>
      <w:docPartObj>
        <w:docPartGallery w:val="Page Numbers (Bottom of Page)"/>
        <w:docPartUnique/>
      </w:docPartObj>
    </w:sdtPr>
    <w:sdtEndPr/>
    <w:sdtContent>
      <w:p w:rsidR="00EB22C7" w:rsidRDefault="00EB22C7" w:rsidP="002A32C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031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763" w:rsidRDefault="00351763" w:rsidP="009656A5">
      <w:pPr>
        <w:spacing w:line="240" w:lineRule="auto"/>
      </w:pPr>
      <w:r>
        <w:separator/>
      </w:r>
    </w:p>
  </w:footnote>
  <w:footnote w:type="continuationSeparator" w:id="0">
    <w:p w:rsidR="00351763" w:rsidRDefault="00351763" w:rsidP="009656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center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EB22C7" w:rsidRPr="00FB4694" w:rsidTr="00EB22C7">
      <w:trPr>
        <w:jc w:val="center"/>
      </w:trPr>
      <w:tc>
        <w:tcPr>
          <w:tcW w:w="9571" w:type="dxa"/>
        </w:tcPr>
        <w:p w:rsidR="00EB22C7" w:rsidRPr="00FB4694" w:rsidRDefault="00EB22C7" w:rsidP="007F4DDF">
          <w:pPr>
            <w:pStyle w:val="ad"/>
            <w:jc w:val="center"/>
            <w:rPr>
              <w:i/>
              <w:sz w:val="20"/>
              <w:szCs w:val="20"/>
            </w:rPr>
          </w:pPr>
          <w:r w:rsidRPr="00FB4694">
            <w:rPr>
              <w:i/>
              <w:sz w:val="20"/>
              <w:szCs w:val="20"/>
            </w:rPr>
            <w:t>Акционерное общество «Газпром промгаз»</w:t>
          </w:r>
        </w:p>
      </w:tc>
    </w:tr>
  </w:tbl>
  <w:p w:rsidR="00EB22C7" w:rsidRDefault="00EB22C7" w:rsidP="007F4DD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2DB8"/>
    <w:multiLevelType w:val="hybridMultilevel"/>
    <w:tmpl w:val="FC8E8F06"/>
    <w:lvl w:ilvl="0" w:tplc="55446C60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8B92924"/>
    <w:multiLevelType w:val="hybridMultilevel"/>
    <w:tmpl w:val="026EB7BC"/>
    <w:lvl w:ilvl="0" w:tplc="79505B4C">
      <w:start w:val="1"/>
      <w:numFmt w:val="decimal"/>
      <w:pStyle w:val="12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66A"/>
    <w:rsid w:val="00000031"/>
    <w:rsid w:val="000047DD"/>
    <w:rsid w:val="00054664"/>
    <w:rsid w:val="00054D92"/>
    <w:rsid w:val="00071F8F"/>
    <w:rsid w:val="00093839"/>
    <w:rsid w:val="000A2604"/>
    <w:rsid w:val="000E2EDC"/>
    <w:rsid w:val="00100AF4"/>
    <w:rsid w:val="00154321"/>
    <w:rsid w:val="00174A6D"/>
    <w:rsid w:val="001E58EF"/>
    <w:rsid w:val="00207003"/>
    <w:rsid w:val="00221EB6"/>
    <w:rsid w:val="002223D4"/>
    <w:rsid w:val="00246C8B"/>
    <w:rsid w:val="00255FA5"/>
    <w:rsid w:val="0026348B"/>
    <w:rsid w:val="00285789"/>
    <w:rsid w:val="002A32C9"/>
    <w:rsid w:val="002B461F"/>
    <w:rsid w:val="002E3413"/>
    <w:rsid w:val="0031082F"/>
    <w:rsid w:val="00320558"/>
    <w:rsid w:val="00351763"/>
    <w:rsid w:val="003D236E"/>
    <w:rsid w:val="003D6B21"/>
    <w:rsid w:val="003E3C0A"/>
    <w:rsid w:val="003E7F56"/>
    <w:rsid w:val="00487B06"/>
    <w:rsid w:val="004B62CE"/>
    <w:rsid w:val="004D4D69"/>
    <w:rsid w:val="004F2687"/>
    <w:rsid w:val="00550EE9"/>
    <w:rsid w:val="00561C4C"/>
    <w:rsid w:val="005727AE"/>
    <w:rsid w:val="00584991"/>
    <w:rsid w:val="00592EE3"/>
    <w:rsid w:val="005D12E1"/>
    <w:rsid w:val="005D35B1"/>
    <w:rsid w:val="005D5F9C"/>
    <w:rsid w:val="005E5228"/>
    <w:rsid w:val="005F709F"/>
    <w:rsid w:val="00615768"/>
    <w:rsid w:val="0064766A"/>
    <w:rsid w:val="00682F7F"/>
    <w:rsid w:val="006927FB"/>
    <w:rsid w:val="00692ECB"/>
    <w:rsid w:val="006A0F2B"/>
    <w:rsid w:val="006A59C9"/>
    <w:rsid w:val="006A5ADB"/>
    <w:rsid w:val="006B13C3"/>
    <w:rsid w:val="006C6BAE"/>
    <w:rsid w:val="006F4C4E"/>
    <w:rsid w:val="007064D6"/>
    <w:rsid w:val="00714846"/>
    <w:rsid w:val="0073383C"/>
    <w:rsid w:val="007418D5"/>
    <w:rsid w:val="00747475"/>
    <w:rsid w:val="007479FF"/>
    <w:rsid w:val="00761B6F"/>
    <w:rsid w:val="007C1C1D"/>
    <w:rsid w:val="007C2797"/>
    <w:rsid w:val="007D4F86"/>
    <w:rsid w:val="007F4DDF"/>
    <w:rsid w:val="00820F12"/>
    <w:rsid w:val="00840349"/>
    <w:rsid w:val="00862E73"/>
    <w:rsid w:val="008704ED"/>
    <w:rsid w:val="00875409"/>
    <w:rsid w:val="00884E91"/>
    <w:rsid w:val="008A15C2"/>
    <w:rsid w:val="008C3297"/>
    <w:rsid w:val="00923974"/>
    <w:rsid w:val="00934E73"/>
    <w:rsid w:val="009656A5"/>
    <w:rsid w:val="00995B1D"/>
    <w:rsid w:val="009A763B"/>
    <w:rsid w:val="009B0E41"/>
    <w:rsid w:val="009E5B29"/>
    <w:rsid w:val="00A06B2A"/>
    <w:rsid w:val="00A82FB0"/>
    <w:rsid w:val="00A863A4"/>
    <w:rsid w:val="00AC20D5"/>
    <w:rsid w:val="00AE6144"/>
    <w:rsid w:val="00AE6B2C"/>
    <w:rsid w:val="00B034C8"/>
    <w:rsid w:val="00B11EF0"/>
    <w:rsid w:val="00B16947"/>
    <w:rsid w:val="00B45351"/>
    <w:rsid w:val="00B640CC"/>
    <w:rsid w:val="00BA77E9"/>
    <w:rsid w:val="00BC4E5F"/>
    <w:rsid w:val="00C32C4E"/>
    <w:rsid w:val="00C45EE3"/>
    <w:rsid w:val="00C60020"/>
    <w:rsid w:val="00C95E3C"/>
    <w:rsid w:val="00CA1E43"/>
    <w:rsid w:val="00CB5541"/>
    <w:rsid w:val="00CC57F1"/>
    <w:rsid w:val="00D5138F"/>
    <w:rsid w:val="00D815E7"/>
    <w:rsid w:val="00D9153B"/>
    <w:rsid w:val="00DC002F"/>
    <w:rsid w:val="00DE57F0"/>
    <w:rsid w:val="00E73EDC"/>
    <w:rsid w:val="00E75E6F"/>
    <w:rsid w:val="00EB22C7"/>
    <w:rsid w:val="00EF3C66"/>
    <w:rsid w:val="00F001DD"/>
    <w:rsid w:val="00F04ACC"/>
    <w:rsid w:val="00F1148F"/>
    <w:rsid w:val="00F54997"/>
    <w:rsid w:val="00F608E9"/>
    <w:rsid w:val="00F722C3"/>
    <w:rsid w:val="00F818EA"/>
    <w:rsid w:val="00FA052C"/>
    <w:rsid w:val="00FB0E66"/>
    <w:rsid w:val="00FB5741"/>
    <w:rsid w:val="00FC1720"/>
    <w:rsid w:val="00FC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592EE3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rsid w:val="000047DD"/>
    <w:pPr>
      <w:keepNext/>
      <w:tabs>
        <w:tab w:val="left" w:pos="432"/>
      </w:tabs>
      <w:suppressAutoHyphens/>
      <w:outlineLvl w:val="0"/>
    </w:pPr>
    <w:rPr>
      <w:rFonts w:eastAsia="Times New Roman" w:cs="Arial"/>
      <w:b/>
      <w:bCs/>
      <w:kern w:val="2"/>
      <w:sz w:val="28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rsid w:val="00995B1D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2E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7DD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95B1D"/>
    <w:rPr>
      <w:rFonts w:ascii="Arial" w:eastAsiaTheme="majorEastAsia" w:hAnsi="Arial" w:cstheme="majorBidi"/>
      <w:b/>
      <w:bCs/>
      <w:sz w:val="24"/>
      <w:szCs w:val="26"/>
    </w:rPr>
  </w:style>
  <w:style w:type="paragraph" w:styleId="a3">
    <w:name w:val="Document Map"/>
    <w:basedOn w:val="a"/>
    <w:link w:val="a4"/>
    <w:uiPriority w:val="99"/>
    <w:semiHidden/>
    <w:unhideWhenUsed/>
    <w:rsid w:val="00B11E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11EF0"/>
    <w:rPr>
      <w:rFonts w:ascii="Tahoma" w:hAnsi="Tahoma" w:cs="Tahoma"/>
      <w:sz w:val="16"/>
      <w:szCs w:val="16"/>
    </w:rPr>
  </w:style>
  <w:style w:type="paragraph" w:customStyle="1" w:styleId="a5">
    <w:name w:val="Раздел"/>
    <w:basedOn w:val="a"/>
    <w:link w:val="a6"/>
    <w:rsid w:val="002E3413"/>
    <w:pPr>
      <w:jc w:val="center"/>
    </w:pPr>
    <w:rPr>
      <w:rFonts w:ascii="Times New Roman" w:eastAsia="Calibri" w:hAnsi="Times New Roman" w:cs="Times New Roman"/>
      <w:b/>
      <w:szCs w:val="24"/>
      <w:lang w:eastAsia="en-US"/>
    </w:rPr>
  </w:style>
  <w:style w:type="character" w:customStyle="1" w:styleId="a6">
    <w:name w:val="Раздел Знак"/>
    <w:basedOn w:val="a0"/>
    <w:link w:val="a5"/>
    <w:locked/>
    <w:rsid w:val="002E3413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Default">
    <w:name w:val="Default"/>
    <w:rsid w:val="00D815E7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table" w:styleId="a7">
    <w:name w:val="Table Grid"/>
    <w:basedOn w:val="a1"/>
    <w:uiPriority w:val="59"/>
    <w:rsid w:val="00A82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A77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7E9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35"/>
    <w:unhideWhenUsed/>
    <w:rsid w:val="006C6BA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Body Text Indent"/>
    <w:basedOn w:val="a"/>
    <w:link w:val="ac"/>
    <w:rsid w:val="00561C4C"/>
    <w:pPr>
      <w:overflowPunct w:val="0"/>
      <w:autoSpaceDE w:val="0"/>
      <w:autoSpaceDN w:val="0"/>
      <w:adjustRightInd w:val="0"/>
      <w:spacing w:line="240" w:lineRule="auto"/>
      <w:ind w:firstLine="284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rsid w:val="00561C4C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header"/>
    <w:aliases w:val="ВерхКолонтитул"/>
    <w:basedOn w:val="a"/>
    <w:link w:val="ae"/>
    <w:unhideWhenUsed/>
    <w:rsid w:val="009656A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aliases w:val="ВерхКолонтитул Знак"/>
    <w:basedOn w:val="a0"/>
    <w:link w:val="ad"/>
    <w:rsid w:val="009656A5"/>
    <w:rPr>
      <w:rFonts w:ascii="Arial" w:hAnsi="Arial"/>
      <w:sz w:val="24"/>
    </w:rPr>
  </w:style>
  <w:style w:type="paragraph" w:styleId="af">
    <w:name w:val="footer"/>
    <w:basedOn w:val="a"/>
    <w:link w:val="af0"/>
    <w:uiPriority w:val="99"/>
    <w:unhideWhenUsed/>
    <w:rsid w:val="009656A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656A5"/>
    <w:rPr>
      <w:rFonts w:ascii="Arial" w:hAnsi="Arial"/>
      <w:sz w:val="24"/>
    </w:rPr>
  </w:style>
  <w:style w:type="paragraph" w:customStyle="1" w:styleId="11">
    <w:name w:val="Стиль №1+"/>
    <w:basedOn w:val="1"/>
    <w:link w:val="13"/>
    <w:qFormat/>
    <w:rsid w:val="003E3C0A"/>
    <w:pPr>
      <w:keepLines/>
      <w:tabs>
        <w:tab w:val="clear" w:pos="432"/>
      </w:tabs>
      <w:suppressAutoHyphens w:val="0"/>
      <w:spacing w:before="120" w:after="120"/>
      <w:ind w:left="284" w:hanging="284"/>
    </w:pPr>
    <w:rPr>
      <w:rFonts w:eastAsiaTheme="majorEastAsia" w:cstheme="majorBidi"/>
      <w:bCs w:val="0"/>
      <w:kern w:val="0"/>
      <w:lang w:eastAsia="en-US"/>
    </w:rPr>
  </w:style>
  <w:style w:type="character" w:customStyle="1" w:styleId="13">
    <w:name w:val="Стиль №1+ Знак"/>
    <w:basedOn w:val="a0"/>
    <w:link w:val="11"/>
    <w:rsid w:val="003E3C0A"/>
    <w:rPr>
      <w:rFonts w:ascii="Arial" w:eastAsiaTheme="majorEastAsia" w:hAnsi="Arial" w:cstheme="majorBidi"/>
      <w:b/>
      <w:sz w:val="28"/>
      <w:szCs w:val="32"/>
      <w:lang w:eastAsia="en-US"/>
    </w:rPr>
  </w:style>
  <w:style w:type="paragraph" w:customStyle="1" w:styleId="21">
    <w:name w:val="Стиль №2+"/>
    <w:basedOn w:val="2"/>
    <w:link w:val="22"/>
    <w:qFormat/>
    <w:rsid w:val="003E3C0A"/>
    <w:pPr>
      <w:spacing w:before="120" w:after="60"/>
      <w:ind w:left="851" w:hanging="284"/>
    </w:pPr>
    <w:rPr>
      <w:bCs w:val="0"/>
      <w:sz w:val="28"/>
      <w:lang w:eastAsia="en-US"/>
    </w:rPr>
  </w:style>
  <w:style w:type="character" w:customStyle="1" w:styleId="22">
    <w:name w:val="Стиль №2+ Знак"/>
    <w:basedOn w:val="a0"/>
    <w:link w:val="21"/>
    <w:rsid w:val="003E3C0A"/>
    <w:rPr>
      <w:rFonts w:ascii="Arial" w:eastAsiaTheme="majorEastAsia" w:hAnsi="Arial" w:cstheme="majorBidi"/>
      <w:b/>
      <w:sz w:val="28"/>
      <w:szCs w:val="26"/>
      <w:lang w:eastAsia="en-US"/>
    </w:rPr>
  </w:style>
  <w:style w:type="paragraph" w:customStyle="1" w:styleId="9">
    <w:name w:val="Стиль №9"/>
    <w:basedOn w:val="21"/>
    <w:link w:val="90"/>
    <w:qFormat/>
    <w:rsid w:val="003E3C0A"/>
    <w:pPr>
      <w:spacing w:before="60"/>
      <w:ind w:left="1135"/>
      <w:outlineLvl w:val="2"/>
    </w:pPr>
    <w:rPr>
      <w:sz w:val="26"/>
    </w:rPr>
  </w:style>
  <w:style w:type="character" w:customStyle="1" w:styleId="90">
    <w:name w:val="Стиль №9 Знак"/>
    <w:basedOn w:val="a0"/>
    <w:link w:val="9"/>
    <w:rsid w:val="003E3C0A"/>
    <w:rPr>
      <w:rFonts w:ascii="Arial" w:eastAsiaTheme="majorEastAsia" w:hAnsi="Arial" w:cstheme="majorBidi"/>
      <w:b/>
      <w:sz w:val="26"/>
      <w:szCs w:val="26"/>
      <w:lang w:eastAsia="en-US"/>
    </w:rPr>
  </w:style>
  <w:style w:type="paragraph" w:customStyle="1" w:styleId="12">
    <w:name w:val="Стиль №12"/>
    <w:basedOn w:val="a"/>
    <w:link w:val="120"/>
    <w:qFormat/>
    <w:rsid w:val="003E3C0A"/>
    <w:pPr>
      <w:numPr>
        <w:numId w:val="1"/>
      </w:numPr>
      <w:ind w:left="0" w:firstLine="709"/>
    </w:pPr>
    <w:rPr>
      <w:rFonts w:eastAsiaTheme="minorHAnsi"/>
      <w:lang w:eastAsia="en-US"/>
    </w:rPr>
  </w:style>
  <w:style w:type="character" w:customStyle="1" w:styleId="120">
    <w:name w:val="Стиль №12 Знак"/>
    <w:basedOn w:val="a0"/>
    <w:link w:val="12"/>
    <w:rsid w:val="003E3C0A"/>
    <w:rPr>
      <w:rFonts w:ascii="Arial" w:eastAsiaTheme="minorHAnsi" w:hAnsi="Arial"/>
      <w:sz w:val="24"/>
      <w:lang w:eastAsia="en-US"/>
    </w:rPr>
  </w:style>
  <w:style w:type="paragraph" w:customStyle="1" w:styleId="3">
    <w:name w:val="Стиль №3"/>
    <w:basedOn w:val="a"/>
    <w:link w:val="30"/>
    <w:autoRedefine/>
    <w:qFormat/>
    <w:rsid w:val="00054664"/>
    <w:rPr>
      <w:rFonts w:eastAsiaTheme="minorHAnsi"/>
      <w:color w:val="000000" w:themeColor="text1"/>
      <w:lang w:eastAsia="en-US"/>
    </w:rPr>
  </w:style>
  <w:style w:type="character" w:customStyle="1" w:styleId="30">
    <w:name w:val="Стиль №3 Знак"/>
    <w:basedOn w:val="a0"/>
    <w:link w:val="3"/>
    <w:rsid w:val="00054664"/>
    <w:rPr>
      <w:rFonts w:ascii="Arial" w:eastAsiaTheme="minorHAnsi" w:hAnsi="Arial"/>
      <w:color w:val="000000" w:themeColor="text1"/>
      <w:sz w:val="24"/>
      <w:lang w:eastAsia="en-US"/>
    </w:rPr>
  </w:style>
  <w:style w:type="paragraph" w:customStyle="1" w:styleId="41">
    <w:name w:val="Стиль №4"/>
    <w:basedOn w:val="aa"/>
    <w:link w:val="42"/>
    <w:autoRedefine/>
    <w:qFormat/>
    <w:rsid w:val="00A863A4"/>
    <w:pPr>
      <w:spacing w:before="240" w:after="0" w:line="360" w:lineRule="auto"/>
      <w:ind w:firstLine="0"/>
    </w:pPr>
    <w:rPr>
      <w:rFonts w:eastAsia="Times New Roman" w:cs="Arial"/>
      <w:b w:val="0"/>
      <w:color w:val="auto"/>
      <w:sz w:val="24"/>
      <w:szCs w:val="24"/>
    </w:rPr>
  </w:style>
  <w:style w:type="character" w:customStyle="1" w:styleId="42">
    <w:name w:val="Стиль №4 Знак"/>
    <w:basedOn w:val="a0"/>
    <w:link w:val="41"/>
    <w:rsid w:val="00A863A4"/>
    <w:rPr>
      <w:rFonts w:ascii="Arial" w:eastAsia="Times New Roman" w:hAnsi="Arial" w:cs="Arial"/>
      <w:bCs/>
      <w:sz w:val="24"/>
      <w:szCs w:val="24"/>
    </w:rPr>
  </w:style>
  <w:style w:type="paragraph" w:customStyle="1" w:styleId="6">
    <w:name w:val="Стиль №6"/>
    <w:basedOn w:val="a"/>
    <w:link w:val="60"/>
    <w:qFormat/>
    <w:rsid w:val="003E3C0A"/>
    <w:pPr>
      <w:spacing w:line="240" w:lineRule="auto"/>
      <w:ind w:firstLine="0"/>
      <w:jc w:val="center"/>
    </w:pPr>
    <w:rPr>
      <w:rFonts w:eastAsia="Times New Roman" w:cs="Times New Roman"/>
      <w:sz w:val="20"/>
      <w:szCs w:val="28"/>
    </w:rPr>
  </w:style>
  <w:style w:type="character" w:customStyle="1" w:styleId="60">
    <w:name w:val="Стиль №6 Знак"/>
    <w:basedOn w:val="a0"/>
    <w:link w:val="6"/>
    <w:rsid w:val="003E3C0A"/>
    <w:rPr>
      <w:rFonts w:ascii="Arial" w:eastAsia="Times New Roman" w:hAnsi="Arial" w:cs="Times New Roman"/>
      <w:sz w:val="20"/>
      <w:szCs w:val="28"/>
    </w:rPr>
  </w:style>
  <w:style w:type="paragraph" w:customStyle="1" w:styleId="5">
    <w:name w:val="Стиль №5"/>
    <w:basedOn w:val="a"/>
    <w:link w:val="50"/>
    <w:qFormat/>
    <w:rsid w:val="003E3C0A"/>
    <w:pPr>
      <w:ind w:firstLine="0"/>
      <w:jc w:val="center"/>
    </w:pPr>
    <w:rPr>
      <w:rFonts w:cs="Arial"/>
      <w:szCs w:val="20"/>
    </w:rPr>
  </w:style>
  <w:style w:type="character" w:customStyle="1" w:styleId="50">
    <w:name w:val="Стиль №5 Знак"/>
    <w:basedOn w:val="a0"/>
    <w:link w:val="5"/>
    <w:rsid w:val="003E3C0A"/>
    <w:rPr>
      <w:rFonts w:ascii="Arial" w:hAnsi="Arial" w:cs="Arial"/>
      <w:sz w:val="24"/>
      <w:szCs w:val="20"/>
    </w:rPr>
  </w:style>
  <w:style w:type="paragraph" w:customStyle="1" w:styleId="7">
    <w:name w:val="Стиль №7"/>
    <w:basedOn w:val="3"/>
    <w:link w:val="70"/>
    <w:qFormat/>
    <w:rsid w:val="003E3C0A"/>
    <w:pPr>
      <w:numPr>
        <w:numId w:val="2"/>
      </w:numPr>
      <w:ind w:left="567" w:firstLine="142"/>
    </w:pPr>
  </w:style>
  <w:style w:type="character" w:customStyle="1" w:styleId="70">
    <w:name w:val="Стиль №7 Знак"/>
    <w:basedOn w:val="30"/>
    <w:link w:val="7"/>
    <w:rsid w:val="003E3C0A"/>
    <w:rPr>
      <w:rFonts w:ascii="Arial" w:eastAsiaTheme="minorHAnsi" w:hAnsi="Arial"/>
      <w:color w:val="000000" w:themeColor="text1"/>
      <w:sz w:val="24"/>
      <w:lang w:eastAsia="en-US"/>
    </w:rPr>
  </w:style>
  <w:style w:type="paragraph" w:customStyle="1" w:styleId="af1">
    <w:name w:val="Мой Рисунок"/>
    <w:basedOn w:val="a"/>
    <w:link w:val="af2"/>
    <w:qFormat/>
    <w:rsid w:val="003E3C0A"/>
    <w:pPr>
      <w:ind w:firstLine="0"/>
      <w:jc w:val="center"/>
    </w:pPr>
    <w:rPr>
      <w:rFonts w:cs="Arial"/>
      <w:szCs w:val="20"/>
    </w:rPr>
  </w:style>
  <w:style w:type="character" w:customStyle="1" w:styleId="af2">
    <w:name w:val="Мой Рисунок Знак"/>
    <w:basedOn w:val="a0"/>
    <w:link w:val="af1"/>
    <w:rsid w:val="003E3C0A"/>
    <w:rPr>
      <w:rFonts w:ascii="Arial" w:hAnsi="Arial" w:cs="Arial"/>
      <w:sz w:val="24"/>
      <w:szCs w:val="20"/>
    </w:rPr>
  </w:style>
  <w:style w:type="character" w:styleId="af3">
    <w:name w:val="Hyperlink"/>
    <w:basedOn w:val="a0"/>
    <w:uiPriority w:val="99"/>
    <w:unhideWhenUsed/>
    <w:rsid w:val="003E3C0A"/>
    <w:rPr>
      <w:color w:val="0000FF"/>
      <w:u w:val="single"/>
    </w:rPr>
  </w:style>
  <w:style w:type="paragraph" w:styleId="14">
    <w:name w:val="toc 1"/>
    <w:basedOn w:val="a"/>
    <w:next w:val="a"/>
    <w:autoRedefine/>
    <w:uiPriority w:val="39"/>
    <w:unhideWhenUsed/>
    <w:rsid w:val="003E3C0A"/>
    <w:pPr>
      <w:tabs>
        <w:tab w:val="right" w:leader="dot" w:pos="9628"/>
      </w:tabs>
      <w:spacing w:after="100" w:line="336" w:lineRule="auto"/>
      <w:ind w:firstLine="0"/>
      <w:jc w:val="left"/>
    </w:pPr>
  </w:style>
  <w:style w:type="paragraph" w:styleId="23">
    <w:name w:val="toc 2"/>
    <w:basedOn w:val="a"/>
    <w:next w:val="a"/>
    <w:autoRedefine/>
    <w:uiPriority w:val="39"/>
    <w:unhideWhenUsed/>
    <w:rsid w:val="003E3C0A"/>
    <w:pPr>
      <w:tabs>
        <w:tab w:val="right" w:leader="dot" w:pos="9629"/>
      </w:tabs>
      <w:spacing w:after="100"/>
      <w:ind w:left="240" w:firstLine="0"/>
    </w:pPr>
    <w:rPr>
      <w:rFonts w:cs="Arial"/>
      <w:b/>
      <w:bCs/>
      <w:noProof/>
      <w:lang w:eastAsia="ar-SA"/>
    </w:rPr>
  </w:style>
  <w:style w:type="paragraph" w:styleId="af4">
    <w:name w:val="TOC Heading"/>
    <w:basedOn w:val="1"/>
    <w:next w:val="a"/>
    <w:link w:val="af5"/>
    <w:uiPriority w:val="39"/>
    <w:unhideWhenUsed/>
    <w:rsid w:val="003E3C0A"/>
    <w:pPr>
      <w:keepLines/>
      <w:tabs>
        <w:tab w:val="clear" w:pos="432"/>
      </w:tabs>
      <w:suppressAutoHyphens w:val="0"/>
      <w:spacing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3E3C0A"/>
    <w:pPr>
      <w:tabs>
        <w:tab w:val="right" w:leader="dot" w:pos="9498"/>
      </w:tabs>
      <w:ind w:firstLine="0"/>
    </w:pPr>
    <w:rPr>
      <w:rFonts w:asciiTheme="minorHAnsi" w:eastAsiaTheme="minorHAnsi" w:hAnsiTheme="minorHAnsi"/>
      <w:sz w:val="22"/>
      <w:lang w:eastAsia="en-US"/>
    </w:rPr>
  </w:style>
  <w:style w:type="character" w:customStyle="1" w:styleId="af5">
    <w:name w:val="Заголовок оглавления Знак"/>
    <w:basedOn w:val="a0"/>
    <w:link w:val="af4"/>
    <w:uiPriority w:val="39"/>
    <w:rsid w:val="003E3C0A"/>
    <w:rPr>
      <w:rFonts w:asciiTheme="majorHAnsi" w:eastAsiaTheme="majorEastAsia" w:hAnsiTheme="majorHAnsi" w:cstheme="majorBidi"/>
      <w:bCs/>
      <w:color w:val="365F91" w:themeColor="accent1" w:themeShade="BF"/>
      <w:sz w:val="32"/>
      <w:szCs w:val="32"/>
    </w:rPr>
  </w:style>
  <w:style w:type="paragraph" w:styleId="af6">
    <w:name w:val="List Paragraph"/>
    <w:basedOn w:val="a"/>
    <w:uiPriority w:val="34"/>
    <w:rsid w:val="0074747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92EC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592EE3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rsid w:val="000047DD"/>
    <w:pPr>
      <w:keepNext/>
      <w:tabs>
        <w:tab w:val="left" w:pos="432"/>
      </w:tabs>
      <w:suppressAutoHyphens/>
      <w:outlineLvl w:val="0"/>
    </w:pPr>
    <w:rPr>
      <w:rFonts w:eastAsia="Times New Roman" w:cs="Arial"/>
      <w:b/>
      <w:bCs/>
      <w:kern w:val="2"/>
      <w:sz w:val="28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rsid w:val="00995B1D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2E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7DD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95B1D"/>
    <w:rPr>
      <w:rFonts w:ascii="Arial" w:eastAsiaTheme="majorEastAsia" w:hAnsi="Arial" w:cstheme="majorBidi"/>
      <w:b/>
      <w:bCs/>
      <w:sz w:val="24"/>
      <w:szCs w:val="26"/>
    </w:rPr>
  </w:style>
  <w:style w:type="paragraph" w:styleId="a3">
    <w:name w:val="Document Map"/>
    <w:basedOn w:val="a"/>
    <w:link w:val="a4"/>
    <w:uiPriority w:val="99"/>
    <w:semiHidden/>
    <w:unhideWhenUsed/>
    <w:rsid w:val="00B11E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11EF0"/>
    <w:rPr>
      <w:rFonts w:ascii="Tahoma" w:hAnsi="Tahoma" w:cs="Tahoma"/>
      <w:sz w:val="16"/>
      <w:szCs w:val="16"/>
    </w:rPr>
  </w:style>
  <w:style w:type="paragraph" w:customStyle="1" w:styleId="a5">
    <w:name w:val="Раздел"/>
    <w:basedOn w:val="a"/>
    <w:link w:val="a6"/>
    <w:rsid w:val="002E3413"/>
    <w:pPr>
      <w:jc w:val="center"/>
    </w:pPr>
    <w:rPr>
      <w:rFonts w:ascii="Times New Roman" w:eastAsia="Calibri" w:hAnsi="Times New Roman" w:cs="Times New Roman"/>
      <w:b/>
      <w:szCs w:val="24"/>
      <w:lang w:eastAsia="en-US"/>
    </w:rPr>
  </w:style>
  <w:style w:type="character" w:customStyle="1" w:styleId="a6">
    <w:name w:val="Раздел Знак"/>
    <w:basedOn w:val="a0"/>
    <w:link w:val="a5"/>
    <w:locked/>
    <w:rsid w:val="002E3413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Default">
    <w:name w:val="Default"/>
    <w:rsid w:val="00D815E7"/>
    <w:pPr>
      <w:autoSpaceDE w:val="0"/>
      <w:autoSpaceDN w:val="0"/>
      <w:adjustRightInd w:val="0"/>
      <w:spacing w:after="0" w:line="240" w:lineRule="auto"/>
    </w:pPr>
    <w:rPr>
      <w:rFonts w:ascii="GOST type B" w:hAnsi="GOST type B" w:cs="GOST type B"/>
      <w:color w:val="000000"/>
      <w:sz w:val="24"/>
      <w:szCs w:val="24"/>
    </w:rPr>
  </w:style>
  <w:style w:type="table" w:styleId="a7">
    <w:name w:val="Table Grid"/>
    <w:basedOn w:val="a1"/>
    <w:uiPriority w:val="59"/>
    <w:rsid w:val="00A82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A77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7E9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35"/>
    <w:unhideWhenUsed/>
    <w:rsid w:val="006C6BA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Body Text Indent"/>
    <w:basedOn w:val="a"/>
    <w:link w:val="ac"/>
    <w:rsid w:val="00561C4C"/>
    <w:pPr>
      <w:overflowPunct w:val="0"/>
      <w:autoSpaceDE w:val="0"/>
      <w:autoSpaceDN w:val="0"/>
      <w:adjustRightInd w:val="0"/>
      <w:spacing w:line="240" w:lineRule="auto"/>
      <w:ind w:firstLine="284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rsid w:val="00561C4C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header"/>
    <w:aliases w:val="ВерхКолонтитул"/>
    <w:basedOn w:val="a"/>
    <w:link w:val="ae"/>
    <w:unhideWhenUsed/>
    <w:rsid w:val="009656A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aliases w:val="ВерхКолонтитул Знак"/>
    <w:basedOn w:val="a0"/>
    <w:link w:val="ad"/>
    <w:rsid w:val="009656A5"/>
    <w:rPr>
      <w:rFonts w:ascii="Arial" w:hAnsi="Arial"/>
      <w:sz w:val="24"/>
    </w:rPr>
  </w:style>
  <w:style w:type="paragraph" w:styleId="af">
    <w:name w:val="footer"/>
    <w:basedOn w:val="a"/>
    <w:link w:val="af0"/>
    <w:uiPriority w:val="99"/>
    <w:unhideWhenUsed/>
    <w:rsid w:val="009656A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656A5"/>
    <w:rPr>
      <w:rFonts w:ascii="Arial" w:hAnsi="Arial"/>
      <w:sz w:val="24"/>
    </w:rPr>
  </w:style>
  <w:style w:type="paragraph" w:customStyle="1" w:styleId="11">
    <w:name w:val="Стиль №1+"/>
    <w:basedOn w:val="1"/>
    <w:link w:val="13"/>
    <w:qFormat/>
    <w:rsid w:val="003E3C0A"/>
    <w:pPr>
      <w:keepLines/>
      <w:tabs>
        <w:tab w:val="clear" w:pos="432"/>
      </w:tabs>
      <w:suppressAutoHyphens w:val="0"/>
      <w:spacing w:before="120" w:after="120"/>
      <w:ind w:left="284" w:hanging="284"/>
    </w:pPr>
    <w:rPr>
      <w:rFonts w:eastAsiaTheme="majorEastAsia" w:cstheme="majorBidi"/>
      <w:bCs w:val="0"/>
      <w:kern w:val="0"/>
      <w:lang w:eastAsia="en-US"/>
    </w:rPr>
  </w:style>
  <w:style w:type="character" w:customStyle="1" w:styleId="13">
    <w:name w:val="Стиль №1+ Знак"/>
    <w:basedOn w:val="a0"/>
    <w:link w:val="11"/>
    <w:rsid w:val="003E3C0A"/>
    <w:rPr>
      <w:rFonts w:ascii="Arial" w:eastAsiaTheme="majorEastAsia" w:hAnsi="Arial" w:cstheme="majorBidi"/>
      <w:b/>
      <w:sz w:val="28"/>
      <w:szCs w:val="32"/>
      <w:lang w:eastAsia="en-US"/>
    </w:rPr>
  </w:style>
  <w:style w:type="paragraph" w:customStyle="1" w:styleId="21">
    <w:name w:val="Стиль №2+"/>
    <w:basedOn w:val="2"/>
    <w:link w:val="22"/>
    <w:qFormat/>
    <w:rsid w:val="003E3C0A"/>
    <w:pPr>
      <w:spacing w:before="120" w:after="60"/>
      <w:ind w:left="851" w:hanging="284"/>
    </w:pPr>
    <w:rPr>
      <w:bCs w:val="0"/>
      <w:sz w:val="28"/>
      <w:lang w:eastAsia="en-US"/>
    </w:rPr>
  </w:style>
  <w:style w:type="character" w:customStyle="1" w:styleId="22">
    <w:name w:val="Стиль №2+ Знак"/>
    <w:basedOn w:val="a0"/>
    <w:link w:val="21"/>
    <w:rsid w:val="003E3C0A"/>
    <w:rPr>
      <w:rFonts w:ascii="Arial" w:eastAsiaTheme="majorEastAsia" w:hAnsi="Arial" w:cstheme="majorBidi"/>
      <w:b/>
      <w:sz w:val="28"/>
      <w:szCs w:val="26"/>
      <w:lang w:eastAsia="en-US"/>
    </w:rPr>
  </w:style>
  <w:style w:type="paragraph" w:customStyle="1" w:styleId="9">
    <w:name w:val="Стиль №9"/>
    <w:basedOn w:val="21"/>
    <w:link w:val="90"/>
    <w:qFormat/>
    <w:rsid w:val="003E3C0A"/>
    <w:pPr>
      <w:spacing w:before="60"/>
      <w:ind w:left="1135"/>
      <w:outlineLvl w:val="2"/>
    </w:pPr>
    <w:rPr>
      <w:sz w:val="26"/>
    </w:rPr>
  </w:style>
  <w:style w:type="character" w:customStyle="1" w:styleId="90">
    <w:name w:val="Стиль №9 Знак"/>
    <w:basedOn w:val="a0"/>
    <w:link w:val="9"/>
    <w:rsid w:val="003E3C0A"/>
    <w:rPr>
      <w:rFonts w:ascii="Arial" w:eastAsiaTheme="majorEastAsia" w:hAnsi="Arial" w:cstheme="majorBidi"/>
      <w:b/>
      <w:sz w:val="26"/>
      <w:szCs w:val="26"/>
      <w:lang w:eastAsia="en-US"/>
    </w:rPr>
  </w:style>
  <w:style w:type="paragraph" w:customStyle="1" w:styleId="12">
    <w:name w:val="Стиль №12"/>
    <w:basedOn w:val="a"/>
    <w:link w:val="120"/>
    <w:qFormat/>
    <w:rsid w:val="003E3C0A"/>
    <w:pPr>
      <w:numPr>
        <w:numId w:val="1"/>
      </w:numPr>
      <w:ind w:left="0" w:firstLine="709"/>
    </w:pPr>
    <w:rPr>
      <w:rFonts w:eastAsiaTheme="minorHAnsi"/>
      <w:lang w:eastAsia="en-US"/>
    </w:rPr>
  </w:style>
  <w:style w:type="character" w:customStyle="1" w:styleId="120">
    <w:name w:val="Стиль №12 Знак"/>
    <w:basedOn w:val="a0"/>
    <w:link w:val="12"/>
    <w:rsid w:val="003E3C0A"/>
    <w:rPr>
      <w:rFonts w:ascii="Arial" w:eastAsiaTheme="minorHAnsi" w:hAnsi="Arial"/>
      <w:sz w:val="24"/>
      <w:lang w:eastAsia="en-US"/>
    </w:rPr>
  </w:style>
  <w:style w:type="paragraph" w:customStyle="1" w:styleId="3">
    <w:name w:val="Стиль №3"/>
    <w:basedOn w:val="a"/>
    <w:link w:val="30"/>
    <w:autoRedefine/>
    <w:qFormat/>
    <w:rsid w:val="00054664"/>
    <w:rPr>
      <w:rFonts w:eastAsiaTheme="minorHAnsi"/>
      <w:color w:val="000000" w:themeColor="text1"/>
      <w:lang w:eastAsia="en-US"/>
    </w:rPr>
  </w:style>
  <w:style w:type="character" w:customStyle="1" w:styleId="30">
    <w:name w:val="Стиль №3 Знак"/>
    <w:basedOn w:val="a0"/>
    <w:link w:val="3"/>
    <w:rsid w:val="00054664"/>
    <w:rPr>
      <w:rFonts w:ascii="Arial" w:eastAsiaTheme="minorHAnsi" w:hAnsi="Arial"/>
      <w:color w:val="000000" w:themeColor="text1"/>
      <w:sz w:val="24"/>
      <w:lang w:eastAsia="en-US"/>
    </w:rPr>
  </w:style>
  <w:style w:type="paragraph" w:customStyle="1" w:styleId="41">
    <w:name w:val="Стиль №4"/>
    <w:basedOn w:val="aa"/>
    <w:link w:val="42"/>
    <w:autoRedefine/>
    <w:qFormat/>
    <w:rsid w:val="00A863A4"/>
    <w:pPr>
      <w:spacing w:before="240" w:after="0" w:line="360" w:lineRule="auto"/>
      <w:ind w:firstLine="0"/>
    </w:pPr>
    <w:rPr>
      <w:rFonts w:eastAsia="Times New Roman" w:cs="Arial"/>
      <w:b w:val="0"/>
      <w:color w:val="auto"/>
      <w:sz w:val="24"/>
      <w:szCs w:val="24"/>
    </w:rPr>
  </w:style>
  <w:style w:type="character" w:customStyle="1" w:styleId="42">
    <w:name w:val="Стиль №4 Знак"/>
    <w:basedOn w:val="a0"/>
    <w:link w:val="41"/>
    <w:rsid w:val="00A863A4"/>
    <w:rPr>
      <w:rFonts w:ascii="Arial" w:eastAsia="Times New Roman" w:hAnsi="Arial" w:cs="Arial"/>
      <w:bCs/>
      <w:sz w:val="24"/>
      <w:szCs w:val="24"/>
    </w:rPr>
  </w:style>
  <w:style w:type="paragraph" w:customStyle="1" w:styleId="6">
    <w:name w:val="Стиль №6"/>
    <w:basedOn w:val="a"/>
    <w:link w:val="60"/>
    <w:qFormat/>
    <w:rsid w:val="003E3C0A"/>
    <w:pPr>
      <w:spacing w:line="240" w:lineRule="auto"/>
      <w:ind w:firstLine="0"/>
      <w:jc w:val="center"/>
    </w:pPr>
    <w:rPr>
      <w:rFonts w:eastAsia="Times New Roman" w:cs="Times New Roman"/>
      <w:sz w:val="20"/>
      <w:szCs w:val="28"/>
    </w:rPr>
  </w:style>
  <w:style w:type="character" w:customStyle="1" w:styleId="60">
    <w:name w:val="Стиль №6 Знак"/>
    <w:basedOn w:val="a0"/>
    <w:link w:val="6"/>
    <w:rsid w:val="003E3C0A"/>
    <w:rPr>
      <w:rFonts w:ascii="Arial" w:eastAsia="Times New Roman" w:hAnsi="Arial" w:cs="Times New Roman"/>
      <w:sz w:val="20"/>
      <w:szCs w:val="28"/>
    </w:rPr>
  </w:style>
  <w:style w:type="paragraph" w:customStyle="1" w:styleId="5">
    <w:name w:val="Стиль №5"/>
    <w:basedOn w:val="a"/>
    <w:link w:val="50"/>
    <w:qFormat/>
    <w:rsid w:val="003E3C0A"/>
    <w:pPr>
      <w:ind w:firstLine="0"/>
      <w:jc w:val="center"/>
    </w:pPr>
    <w:rPr>
      <w:rFonts w:cs="Arial"/>
      <w:szCs w:val="20"/>
    </w:rPr>
  </w:style>
  <w:style w:type="character" w:customStyle="1" w:styleId="50">
    <w:name w:val="Стиль №5 Знак"/>
    <w:basedOn w:val="a0"/>
    <w:link w:val="5"/>
    <w:rsid w:val="003E3C0A"/>
    <w:rPr>
      <w:rFonts w:ascii="Arial" w:hAnsi="Arial" w:cs="Arial"/>
      <w:sz w:val="24"/>
      <w:szCs w:val="20"/>
    </w:rPr>
  </w:style>
  <w:style w:type="paragraph" w:customStyle="1" w:styleId="7">
    <w:name w:val="Стиль №7"/>
    <w:basedOn w:val="3"/>
    <w:link w:val="70"/>
    <w:qFormat/>
    <w:rsid w:val="003E3C0A"/>
    <w:pPr>
      <w:numPr>
        <w:numId w:val="2"/>
      </w:numPr>
      <w:ind w:left="567" w:firstLine="142"/>
    </w:pPr>
  </w:style>
  <w:style w:type="character" w:customStyle="1" w:styleId="70">
    <w:name w:val="Стиль №7 Знак"/>
    <w:basedOn w:val="30"/>
    <w:link w:val="7"/>
    <w:rsid w:val="003E3C0A"/>
    <w:rPr>
      <w:rFonts w:ascii="Arial" w:eastAsiaTheme="minorHAnsi" w:hAnsi="Arial"/>
      <w:color w:val="000000" w:themeColor="text1"/>
      <w:sz w:val="24"/>
      <w:lang w:eastAsia="en-US"/>
    </w:rPr>
  </w:style>
  <w:style w:type="paragraph" w:customStyle="1" w:styleId="af1">
    <w:name w:val="Мой Рисунок"/>
    <w:basedOn w:val="a"/>
    <w:link w:val="af2"/>
    <w:qFormat/>
    <w:rsid w:val="003E3C0A"/>
    <w:pPr>
      <w:ind w:firstLine="0"/>
      <w:jc w:val="center"/>
    </w:pPr>
    <w:rPr>
      <w:rFonts w:cs="Arial"/>
      <w:szCs w:val="20"/>
    </w:rPr>
  </w:style>
  <w:style w:type="character" w:customStyle="1" w:styleId="af2">
    <w:name w:val="Мой Рисунок Знак"/>
    <w:basedOn w:val="a0"/>
    <w:link w:val="af1"/>
    <w:rsid w:val="003E3C0A"/>
    <w:rPr>
      <w:rFonts w:ascii="Arial" w:hAnsi="Arial" w:cs="Arial"/>
      <w:sz w:val="24"/>
      <w:szCs w:val="20"/>
    </w:rPr>
  </w:style>
  <w:style w:type="character" w:styleId="af3">
    <w:name w:val="Hyperlink"/>
    <w:basedOn w:val="a0"/>
    <w:uiPriority w:val="99"/>
    <w:unhideWhenUsed/>
    <w:rsid w:val="003E3C0A"/>
    <w:rPr>
      <w:color w:val="0000FF"/>
      <w:u w:val="single"/>
    </w:rPr>
  </w:style>
  <w:style w:type="paragraph" w:styleId="14">
    <w:name w:val="toc 1"/>
    <w:basedOn w:val="a"/>
    <w:next w:val="a"/>
    <w:autoRedefine/>
    <w:uiPriority w:val="39"/>
    <w:unhideWhenUsed/>
    <w:rsid w:val="003E3C0A"/>
    <w:pPr>
      <w:tabs>
        <w:tab w:val="right" w:leader="dot" w:pos="9628"/>
      </w:tabs>
      <w:spacing w:after="100" w:line="336" w:lineRule="auto"/>
      <w:ind w:firstLine="0"/>
      <w:jc w:val="left"/>
    </w:pPr>
  </w:style>
  <w:style w:type="paragraph" w:styleId="23">
    <w:name w:val="toc 2"/>
    <w:basedOn w:val="a"/>
    <w:next w:val="a"/>
    <w:autoRedefine/>
    <w:uiPriority w:val="39"/>
    <w:unhideWhenUsed/>
    <w:rsid w:val="003E3C0A"/>
    <w:pPr>
      <w:tabs>
        <w:tab w:val="right" w:leader="dot" w:pos="9629"/>
      </w:tabs>
      <w:spacing w:after="100"/>
      <w:ind w:left="240" w:firstLine="0"/>
    </w:pPr>
    <w:rPr>
      <w:rFonts w:cs="Arial"/>
      <w:b/>
      <w:bCs/>
      <w:noProof/>
      <w:lang w:eastAsia="ar-SA"/>
    </w:rPr>
  </w:style>
  <w:style w:type="paragraph" w:styleId="af4">
    <w:name w:val="TOC Heading"/>
    <w:basedOn w:val="1"/>
    <w:next w:val="a"/>
    <w:link w:val="af5"/>
    <w:uiPriority w:val="39"/>
    <w:unhideWhenUsed/>
    <w:rsid w:val="003E3C0A"/>
    <w:pPr>
      <w:keepLines/>
      <w:tabs>
        <w:tab w:val="clear" w:pos="432"/>
      </w:tabs>
      <w:suppressAutoHyphens w:val="0"/>
      <w:spacing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3E3C0A"/>
    <w:pPr>
      <w:tabs>
        <w:tab w:val="right" w:leader="dot" w:pos="9498"/>
      </w:tabs>
      <w:ind w:firstLine="0"/>
    </w:pPr>
    <w:rPr>
      <w:rFonts w:asciiTheme="minorHAnsi" w:eastAsiaTheme="minorHAnsi" w:hAnsiTheme="minorHAnsi"/>
      <w:sz w:val="22"/>
      <w:lang w:eastAsia="en-US"/>
    </w:rPr>
  </w:style>
  <w:style w:type="character" w:customStyle="1" w:styleId="af5">
    <w:name w:val="Заголовок оглавления Знак"/>
    <w:basedOn w:val="a0"/>
    <w:link w:val="af4"/>
    <w:uiPriority w:val="39"/>
    <w:rsid w:val="003E3C0A"/>
    <w:rPr>
      <w:rFonts w:asciiTheme="majorHAnsi" w:eastAsiaTheme="majorEastAsia" w:hAnsiTheme="majorHAnsi" w:cstheme="majorBidi"/>
      <w:bCs/>
      <w:color w:val="365F91" w:themeColor="accent1" w:themeShade="BF"/>
      <w:sz w:val="32"/>
      <w:szCs w:val="32"/>
    </w:rPr>
  </w:style>
  <w:style w:type="paragraph" w:styleId="af6">
    <w:name w:val="List Paragraph"/>
    <w:basedOn w:val="a"/>
    <w:uiPriority w:val="34"/>
    <w:rsid w:val="0074747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692EC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12462C6-AEFB-4B3D-9342-2F03F03A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3409</Words>
  <Characters>19434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PROMGAS</Company>
  <LinksUpToDate>false</LinksUpToDate>
  <CharactersWithSpaces>22798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A_Yuzhakov</dc:creator>
  <cp:lastModifiedBy>Касимов ТВ</cp:lastModifiedBy>
  <cp:revision>2</cp:revision>
  <dcterms:created xsi:type="dcterms:W3CDTF">2015-10-12T07:15:00Z</dcterms:created>
  <dcterms:modified xsi:type="dcterms:W3CDTF">2015-10-12T07:15:00Z</dcterms:modified>
</cp:coreProperties>
</file>